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56b4a8"/>
          <w:sz w:val="28"/>
          <w:szCs w:val="28"/>
          <w:vertAlign w:val="baseline"/>
          <w:rtl w:val="0"/>
        </w:rPr>
        <w:t xml:space="preserve">Iffley Academy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right="2"/>
        <w:jc w:val="center"/>
        <w:rPr>
          <w:b w:val="0"/>
          <w:color w:val="56b4a8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56b4a8"/>
          <w:sz w:val="28"/>
          <w:szCs w:val="28"/>
          <w:vertAlign w:val="baseline"/>
          <w:rtl w:val="0"/>
        </w:rPr>
        <w:t xml:space="preserve">Exams Appeals and Complaints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-567" w:right="-766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55.0" w:type="dxa"/>
        <w:jc w:val="left"/>
        <w:tblInd w:w="1913.0" w:type="dxa"/>
        <w:tblBorders>
          <w:top w:color="56b4a8" w:space="0" w:sz="8" w:val="single"/>
          <w:left w:color="56b4a8" w:space="0" w:sz="8" w:val="single"/>
          <w:bottom w:color="56b4a8" w:space="0" w:sz="8" w:val="single"/>
          <w:right w:color="56b4a8" w:space="0" w:sz="8" w:val="single"/>
          <w:insideH w:color="56b4a8" w:space="0" w:sz="8" w:val="single"/>
          <w:insideV w:color="56b4a8" w:space="0" w:sz="8" w:val="single"/>
        </w:tblBorders>
        <w:tblLayout w:type="fixed"/>
        <w:tblLook w:val="0000"/>
      </w:tblPr>
      <w:tblGrid>
        <w:gridCol w:w="2580"/>
        <w:gridCol w:w="2175"/>
        <w:tblGridChange w:id="0">
          <w:tblGrid>
            <w:gridCol w:w="2580"/>
            <w:gridCol w:w="21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b w:val="0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vertAlign w:val="baseline"/>
                <w:rtl w:val="0"/>
              </w:rPr>
              <w:t xml:space="preserve">Written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0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vertAlign w:val="baseline"/>
                <w:rtl w:val="0"/>
              </w:rPr>
              <w:t xml:space="preserve">Jan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b w:val="0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vertAlign w:val="baseline"/>
                <w:rtl w:val="0"/>
              </w:rPr>
              <w:t xml:space="preserve">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0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vertAlign w:val="baseline"/>
                <w:rtl w:val="0"/>
              </w:rPr>
              <w:t xml:space="preserve">Jan 202</w:t>
            </w:r>
            <w:r w:rsidDel="00000000" w:rsidR="00000000" w:rsidRPr="00000000">
              <w:rPr>
                <w:b w:val="1"/>
                <w:color w:val="56b4a8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0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vertAlign w:val="baseline"/>
                <w:rtl w:val="0"/>
              </w:rPr>
              <w:t xml:space="preserve">SLT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0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vertAlign w:val="baseline"/>
                <w:rtl w:val="0"/>
              </w:rPr>
              <w:t xml:space="preserve">Y Fay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rtl w:val="0"/>
              </w:rPr>
              <w:t xml:space="preserve">Learning Manager of Accreditation and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color w:val="56b4a8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56b4a8"/>
                <w:sz w:val="22"/>
                <w:szCs w:val="22"/>
                <w:rtl w:val="0"/>
              </w:rPr>
              <w:t xml:space="preserve">M McLaughlin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20" w:orient="portrait"/>
          <w:pgMar w:bottom="875" w:top="1440" w:left="1440" w:right="1440" w:header="0" w:footer="0"/>
          <w:pgNumType w:start="1"/>
        </w:sect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2160270</wp:posOffset>
            </wp:positionH>
            <wp:positionV relativeFrom="page">
              <wp:posOffset>2059939</wp:posOffset>
            </wp:positionV>
            <wp:extent cx="3238500" cy="214312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9665970</wp:posOffset>
            </wp:positionV>
            <wp:extent cx="7569200" cy="581025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5827395</wp:posOffset>
            </wp:positionH>
            <wp:positionV relativeFrom="page">
              <wp:posOffset>307340</wp:posOffset>
            </wp:positionV>
            <wp:extent cx="1438275" cy="9525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Examination Appeals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Aim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672"/>
        </w:tabs>
        <w:spacing w:line="275" w:lineRule="auto"/>
        <w:ind w:left="360" w:right="20" w:hanging="2.9999999999999716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 enable the learner to enquire, question or appeal against an assessment decision.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672"/>
        </w:tabs>
        <w:spacing w:line="275" w:lineRule="auto"/>
        <w:ind w:left="360" w:right="20" w:hanging="2.9999999999999716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 attempt to reach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agreement between the learner and the assessor at the earliest opportunity</w:t>
      </w:r>
    </w:p>
    <w:p w:rsidR="00000000" w:rsidDel="00000000" w:rsidP="00000000" w:rsidRDefault="00000000" w:rsidRPr="00000000" w14:paraId="00000029">
      <w:pPr>
        <w:tabs>
          <w:tab w:val="left" w:leader="none" w:pos="672"/>
        </w:tabs>
        <w:spacing w:line="275" w:lineRule="auto"/>
        <w:ind w:right="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672"/>
        </w:tabs>
        <w:spacing w:line="275" w:lineRule="auto"/>
        <w:ind w:left="360" w:right="20" w:hanging="2.9999999999999716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 standardise and record any appeal to ensure openness and fairness.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672"/>
        </w:tabs>
        <w:spacing w:line="275" w:lineRule="auto"/>
        <w:ind w:left="360" w:right="20" w:hanging="2.9999999999999716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 facilitate a learner’s ultimate right of appeal to the awarding body, where appropriate.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620"/>
        </w:tabs>
        <w:ind w:left="620" w:hanging="2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To protect the interests of all learners and the integrity of the qualification.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620"/>
        </w:tabs>
        <w:ind w:left="620" w:hanging="2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this, the Centre will: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1080"/>
        </w:tabs>
        <w:ind w:left="1080" w:hanging="3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Inform the learner at induction, of the Appeals Policy and procedure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tabs>
          <w:tab w:val="left" w:leader="none" w:pos="1080"/>
        </w:tabs>
        <w:ind w:left="1080" w:hanging="3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Record, track and validate any appeal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tabs>
          <w:tab w:val="left" w:leader="none" w:pos="1080"/>
        </w:tabs>
        <w:ind w:left="1080" w:right="20" w:hanging="36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Forward the appeal to the awarding body when a learner considers that a decision continues to disadvantage him/her after the internal appeals process has been exhausted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tabs>
          <w:tab w:val="left" w:leader="none" w:pos="1080"/>
        </w:tabs>
        <w:spacing w:line="239" w:lineRule="auto"/>
        <w:ind w:left="1080" w:right="20" w:hanging="3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Keep appeals records for inspection by the awarding body for a minimum of 18 months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tabs>
          <w:tab w:val="left" w:leader="none" w:pos="1080"/>
        </w:tabs>
        <w:ind w:left="1080" w:hanging="3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Have a staged appeal procedure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tabs>
          <w:tab w:val="left" w:leader="none" w:pos="1080"/>
        </w:tabs>
        <w:ind w:left="1080" w:hanging="36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Will take appropriate action to protect the interests of other learners and the integrity of the qualification, when the outcome of an appeal questions the validity of other results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tabs>
          <w:tab w:val="left" w:leader="none" w:pos="1080"/>
        </w:tabs>
        <w:ind w:left="1080" w:hanging="363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Monitor appeals to inform quality improvement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60" w:firstLine="0"/>
        <w:rPr>
          <w:rFonts w:ascii="Arial" w:cs="Arial" w:eastAsia="Arial" w:hAnsi="Arial"/>
          <w:sz w:val="24"/>
          <w:szCs w:val="24"/>
          <w:vertAlign w:val="baseline"/>
        </w:rPr>
        <w:sectPr>
          <w:type w:val="nextPage"/>
          <w:pgSz w:h="16840" w:w="11920" w:orient="portrait"/>
          <w:pgMar w:bottom="0" w:top="1440" w:left="1440" w:right="1320" w:header="0" w:footer="0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This policy will be reviewed every 12 months.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8" w:lineRule="auto"/>
        <w:ind w:left="1980" w:right="1660" w:firstLine="0"/>
        <w:jc w:val="center"/>
        <w:rPr>
          <w:rFonts w:ascii="Arial" w:cs="Arial" w:eastAsia="Arial" w:hAnsi="Arial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ffff"/>
          <w:vertAlign w:val="baseline"/>
          <w:rtl w:val="0"/>
        </w:rPr>
        <w:t xml:space="preserve">The Iffley Academy Trust Company Ltd is a Registered Charity Company Registration No. 8334718 Registered in England &amp; Wales</w:t>
      </w:r>
    </w:p>
    <w:sectPr>
      <w:type w:val="continuous"/>
      <w:pgSz w:h="16840" w:w="11920" w:orient="portrait"/>
      <w:pgMar w:bottom="0" w:top="1440" w:left="1440" w:right="13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image" Target="media/image1.png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FtDCuvTI93bPa4P6/5G6lA2sg==">CgMxLjAyCWlkLmdqZGd4czIKaWQuMzBqMHpsbDgAciExUXVfTHNJUWNoVnJpd1RJc0czUDdfTjlpTk9MRTVZT3E=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2024-01-02T14:32:00Z</dcterms:created>
  <dc:creator>Yvette Fay</dc:creator>
</cp:coreProperties>
</file>