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46CFD" w14:textId="77777777" w:rsidR="00B771F7" w:rsidRDefault="00000000">
      <w:pPr>
        <w:ind w:left="-567" w:right="-766"/>
        <w:rPr>
          <w:rFonts w:ascii="Arial" w:eastAsia="Arial" w:hAnsi="Arial" w:cs="Arial"/>
          <w:color w:val="56B4A8"/>
          <w:sz w:val="80"/>
          <w:szCs w:val="80"/>
        </w:rPr>
      </w:pPr>
      <w:r>
        <w:rPr>
          <w:rFonts w:ascii="Arial" w:eastAsia="Arial" w:hAnsi="Arial" w:cs="Arial"/>
          <w:color w:val="56B4A8"/>
          <w:sz w:val="80"/>
          <w:szCs w:val="80"/>
        </w:rPr>
        <w:t xml:space="preserve"> </w:t>
      </w:r>
    </w:p>
    <w:p w14:paraId="3615E66D" w14:textId="77777777" w:rsidR="00B771F7" w:rsidRDefault="00B771F7">
      <w:pPr>
        <w:ind w:left="-567" w:right="-766"/>
        <w:rPr>
          <w:rFonts w:ascii="Arial" w:eastAsia="Arial" w:hAnsi="Arial" w:cs="Arial"/>
          <w:color w:val="56B4A8"/>
          <w:sz w:val="80"/>
          <w:szCs w:val="80"/>
        </w:rPr>
      </w:pPr>
    </w:p>
    <w:p w14:paraId="0135A623" w14:textId="77777777" w:rsidR="00B771F7" w:rsidRDefault="00B771F7">
      <w:pPr>
        <w:ind w:left="-567" w:right="-766"/>
        <w:rPr>
          <w:rFonts w:ascii="Arial" w:eastAsia="Arial" w:hAnsi="Arial" w:cs="Arial"/>
          <w:color w:val="56B4A8"/>
          <w:sz w:val="80"/>
          <w:szCs w:val="80"/>
        </w:rPr>
      </w:pPr>
    </w:p>
    <w:p w14:paraId="02334B95" w14:textId="77777777" w:rsidR="00B771F7" w:rsidRDefault="00B771F7">
      <w:pPr>
        <w:ind w:left="-567" w:right="-766"/>
        <w:rPr>
          <w:rFonts w:ascii="Arial" w:eastAsia="Arial" w:hAnsi="Arial" w:cs="Arial"/>
          <w:color w:val="56B4A8"/>
          <w:sz w:val="80"/>
          <w:szCs w:val="80"/>
        </w:rPr>
      </w:pPr>
    </w:p>
    <w:p w14:paraId="04E755D2" w14:textId="77777777" w:rsidR="00B771F7" w:rsidRDefault="00B771F7">
      <w:pPr>
        <w:ind w:left="-567" w:right="-766"/>
        <w:rPr>
          <w:rFonts w:ascii="Arial" w:eastAsia="Arial" w:hAnsi="Arial" w:cs="Arial"/>
          <w:color w:val="56B4A8"/>
          <w:sz w:val="80"/>
          <w:szCs w:val="80"/>
        </w:rPr>
      </w:pPr>
    </w:p>
    <w:p w14:paraId="39D40B3A" w14:textId="77777777" w:rsidR="00B771F7" w:rsidRDefault="00B771F7">
      <w:pPr>
        <w:ind w:left="-567" w:right="-766"/>
        <w:rPr>
          <w:rFonts w:ascii="Arial" w:eastAsia="Arial" w:hAnsi="Arial" w:cs="Arial"/>
          <w:color w:val="56B4A8"/>
          <w:sz w:val="80"/>
          <w:szCs w:val="80"/>
        </w:rPr>
      </w:pPr>
    </w:p>
    <w:p w14:paraId="16BF8889" w14:textId="77777777" w:rsidR="00B771F7" w:rsidRDefault="00000000">
      <w:pPr>
        <w:spacing w:after="120"/>
        <w:ind w:right="2"/>
        <w:jc w:val="center"/>
        <w:rPr>
          <w:rFonts w:ascii="Calibri" w:eastAsia="Calibri" w:hAnsi="Calibri" w:cs="Calibri"/>
          <w:b/>
          <w:color w:val="56B4A8"/>
          <w:sz w:val="28"/>
          <w:szCs w:val="28"/>
        </w:rPr>
      </w:pPr>
      <w:r>
        <w:rPr>
          <w:rFonts w:ascii="Calibri" w:eastAsia="Calibri" w:hAnsi="Calibri" w:cs="Calibri"/>
          <w:b/>
          <w:color w:val="56B4A8"/>
          <w:sz w:val="28"/>
          <w:szCs w:val="28"/>
        </w:rPr>
        <w:t xml:space="preserve">Iffley Academy </w:t>
      </w:r>
    </w:p>
    <w:p w14:paraId="4CE5AFAF" w14:textId="77777777" w:rsidR="00B771F7" w:rsidRDefault="00000000">
      <w:pPr>
        <w:spacing w:after="120"/>
        <w:ind w:right="2"/>
        <w:jc w:val="center"/>
        <w:rPr>
          <w:rFonts w:ascii="Calibri" w:eastAsia="Calibri" w:hAnsi="Calibri" w:cs="Calibri"/>
          <w:b/>
          <w:color w:val="56B4A8"/>
          <w:sz w:val="28"/>
          <w:szCs w:val="28"/>
        </w:rPr>
      </w:pPr>
      <w:r>
        <w:rPr>
          <w:rFonts w:ascii="Calibri" w:eastAsia="Calibri" w:hAnsi="Calibri" w:cs="Calibri"/>
          <w:b/>
          <w:color w:val="56B4A8"/>
          <w:sz w:val="28"/>
          <w:szCs w:val="28"/>
        </w:rPr>
        <w:t>Relationship and Sex Education Policy</w:t>
      </w:r>
    </w:p>
    <w:p w14:paraId="2291A418" w14:textId="77777777" w:rsidR="00B771F7" w:rsidRDefault="00B771F7">
      <w:pPr>
        <w:spacing w:after="120"/>
        <w:ind w:left="-567" w:right="-766"/>
        <w:rPr>
          <w:rFonts w:ascii="Calibri" w:eastAsia="Calibri" w:hAnsi="Calibri" w:cs="Calibri"/>
          <w:b/>
          <w:sz w:val="22"/>
          <w:szCs w:val="22"/>
        </w:rPr>
      </w:pPr>
    </w:p>
    <w:tbl>
      <w:tblPr>
        <w:tblStyle w:val="a1"/>
        <w:tblW w:w="4755" w:type="dxa"/>
        <w:tblInd w:w="2013" w:type="dxa"/>
        <w:tblBorders>
          <w:top w:val="single" w:sz="8" w:space="0" w:color="56B4A8"/>
          <w:left w:val="single" w:sz="8" w:space="0" w:color="56B4A8"/>
          <w:bottom w:val="single" w:sz="8" w:space="0" w:color="56B4A8"/>
          <w:right w:val="single" w:sz="8" w:space="0" w:color="56B4A8"/>
          <w:insideH w:val="single" w:sz="8" w:space="0" w:color="56B4A8"/>
          <w:insideV w:val="single" w:sz="8" w:space="0" w:color="56B4A8"/>
        </w:tblBorders>
        <w:tblLayout w:type="fixed"/>
        <w:tblLook w:val="0600" w:firstRow="0" w:lastRow="0" w:firstColumn="0" w:lastColumn="0" w:noHBand="1" w:noVBand="1"/>
      </w:tblPr>
      <w:tblGrid>
        <w:gridCol w:w="2580"/>
        <w:gridCol w:w="2175"/>
      </w:tblGrid>
      <w:tr w:rsidR="00B771F7" w14:paraId="08289563" w14:textId="77777777">
        <w:tc>
          <w:tcPr>
            <w:tcW w:w="2580" w:type="dxa"/>
            <w:shd w:val="clear" w:color="auto" w:fill="auto"/>
            <w:tcMar>
              <w:top w:w="100" w:type="dxa"/>
              <w:left w:w="100" w:type="dxa"/>
              <w:bottom w:w="100" w:type="dxa"/>
              <w:right w:w="100" w:type="dxa"/>
            </w:tcMar>
          </w:tcPr>
          <w:p w14:paraId="4850E630" w14:textId="77777777" w:rsidR="00B771F7" w:rsidRDefault="00000000">
            <w:pPr>
              <w:widowControl w:val="0"/>
              <w:rPr>
                <w:rFonts w:ascii="Calibri" w:eastAsia="Calibri" w:hAnsi="Calibri" w:cs="Calibri"/>
                <w:b/>
                <w:color w:val="56B4A8"/>
                <w:sz w:val="22"/>
                <w:szCs w:val="22"/>
              </w:rPr>
            </w:pPr>
            <w:r>
              <w:rPr>
                <w:rFonts w:ascii="Calibri" w:eastAsia="Calibri" w:hAnsi="Calibri" w:cs="Calibri"/>
                <w:b/>
                <w:color w:val="56B4A8"/>
                <w:sz w:val="22"/>
                <w:szCs w:val="22"/>
              </w:rPr>
              <w:t>Written</w:t>
            </w:r>
          </w:p>
        </w:tc>
        <w:tc>
          <w:tcPr>
            <w:tcW w:w="2175" w:type="dxa"/>
            <w:shd w:val="clear" w:color="auto" w:fill="auto"/>
            <w:tcMar>
              <w:top w:w="100" w:type="dxa"/>
              <w:left w:w="100" w:type="dxa"/>
              <w:bottom w:w="100" w:type="dxa"/>
              <w:right w:w="100" w:type="dxa"/>
            </w:tcMar>
          </w:tcPr>
          <w:p w14:paraId="629BA57D" w14:textId="333AF11B" w:rsidR="00B771F7" w:rsidRDefault="00000000">
            <w:pPr>
              <w:widowControl w:val="0"/>
              <w:rPr>
                <w:rFonts w:ascii="Calibri" w:eastAsia="Calibri" w:hAnsi="Calibri" w:cs="Calibri"/>
                <w:b/>
                <w:color w:val="56B4A8"/>
                <w:sz w:val="22"/>
                <w:szCs w:val="22"/>
              </w:rPr>
            </w:pPr>
            <w:r>
              <w:rPr>
                <w:rFonts w:ascii="Calibri" w:eastAsia="Calibri" w:hAnsi="Calibri" w:cs="Calibri"/>
                <w:b/>
                <w:color w:val="56B4A8"/>
                <w:sz w:val="22"/>
                <w:szCs w:val="22"/>
              </w:rPr>
              <w:t>September 202</w:t>
            </w:r>
            <w:r w:rsidR="00575D7A">
              <w:rPr>
                <w:rFonts w:ascii="Calibri" w:eastAsia="Calibri" w:hAnsi="Calibri" w:cs="Calibri"/>
                <w:b/>
                <w:color w:val="56B4A8"/>
                <w:sz w:val="22"/>
                <w:szCs w:val="22"/>
              </w:rPr>
              <w:t>5</w:t>
            </w:r>
          </w:p>
        </w:tc>
      </w:tr>
      <w:tr w:rsidR="00B771F7" w14:paraId="68D123CF" w14:textId="77777777">
        <w:tc>
          <w:tcPr>
            <w:tcW w:w="2580" w:type="dxa"/>
            <w:shd w:val="clear" w:color="auto" w:fill="auto"/>
            <w:tcMar>
              <w:top w:w="100" w:type="dxa"/>
              <w:left w:w="100" w:type="dxa"/>
              <w:bottom w:w="100" w:type="dxa"/>
              <w:right w:w="100" w:type="dxa"/>
            </w:tcMar>
          </w:tcPr>
          <w:p w14:paraId="17F7BCCD" w14:textId="77777777" w:rsidR="00B771F7" w:rsidRDefault="00000000">
            <w:pPr>
              <w:widowControl w:val="0"/>
              <w:rPr>
                <w:rFonts w:ascii="Calibri" w:eastAsia="Calibri" w:hAnsi="Calibri" w:cs="Calibri"/>
                <w:b/>
                <w:color w:val="56B4A8"/>
                <w:sz w:val="22"/>
                <w:szCs w:val="22"/>
              </w:rPr>
            </w:pPr>
            <w:r>
              <w:rPr>
                <w:rFonts w:ascii="Calibri" w:eastAsia="Calibri" w:hAnsi="Calibri" w:cs="Calibri"/>
                <w:b/>
                <w:color w:val="56B4A8"/>
                <w:sz w:val="22"/>
                <w:szCs w:val="22"/>
              </w:rPr>
              <w:t>Review Date</w:t>
            </w:r>
          </w:p>
        </w:tc>
        <w:tc>
          <w:tcPr>
            <w:tcW w:w="2175" w:type="dxa"/>
            <w:shd w:val="clear" w:color="auto" w:fill="auto"/>
            <w:tcMar>
              <w:top w:w="100" w:type="dxa"/>
              <w:left w:w="100" w:type="dxa"/>
              <w:bottom w:w="100" w:type="dxa"/>
              <w:right w:w="100" w:type="dxa"/>
            </w:tcMar>
          </w:tcPr>
          <w:p w14:paraId="1612C30A" w14:textId="7E8F3B11" w:rsidR="00B771F7" w:rsidRDefault="00000000">
            <w:pPr>
              <w:widowControl w:val="0"/>
              <w:rPr>
                <w:rFonts w:ascii="Calibri" w:eastAsia="Calibri" w:hAnsi="Calibri" w:cs="Calibri"/>
                <w:b/>
                <w:color w:val="56B4A8"/>
                <w:sz w:val="22"/>
                <w:szCs w:val="22"/>
              </w:rPr>
            </w:pPr>
            <w:r>
              <w:rPr>
                <w:rFonts w:ascii="Calibri" w:eastAsia="Calibri" w:hAnsi="Calibri" w:cs="Calibri"/>
                <w:b/>
                <w:color w:val="56B4A8"/>
                <w:sz w:val="22"/>
                <w:szCs w:val="22"/>
              </w:rPr>
              <w:t>September 202</w:t>
            </w:r>
            <w:r w:rsidR="00575D7A">
              <w:rPr>
                <w:rFonts w:ascii="Calibri" w:eastAsia="Calibri" w:hAnsi="Calibri" w:cs="Calibri"/>
                <w:b/>
                <w:color w:val="56B4A8"/>
                <w:sz w:val="22"/>
                <w:szCs w:val="22"/>
              </w:rPr>
              <w:t>7</w:t>
            </w:r>
          </w:p>
        </w:tc>
      </w:tr>
      <w:tr w:rsidR="00B771F7" w14:paraId="427BC3B2" w14:textId="77777777">
        <w:tc>
          <w:tcPr>
            <w:tcW w:w="2580" w:type="dxa"/>
            <w:shd w:val="clear" w:color="auto" w:fill="auto"/>
            <w:tcMar>
              <w:top w:w="100" w:type="dxa"/>
              <w:left w:w="100" w:type="dxa"/>
              <w:bottom w:w="100" w:type="dxa"/>
              <w:right w:w="100" w:type="dxa"/>
            </w:tcMar>
          </w:tcPr>
          <w:p w14:paraId="3A57997C" w14:textId="77777777" w:rsidR="00B771F7" w:rsidRDefault="00000000">
            <w:pPr>
              <w:widowControl w:val="0"/>
              <w:rPr>
                <w:rFonts w:ascii="Calibri" w:eastAsia="Calibri" w:hAnsi="Calibri" w:cs="Calibri"/>
                <w:b/>
                <w:color w:val="56B4A8"/>
                <w:sz w:val="22"/>
                <w:szCs w:val="22"/>
              </w:rPr>
            </w:pPr>
            <w:r>
              <w:rPr>
                <w:rFonts w:ascii="Calibri" w:eastAsia="Calibri" w:hAnsi="Calibri" w:cs="Calibri"/>
                <w:b/>
                <w:color w:val="56B4A8"/>
                <w:sz w:val="22"/>
                <w:szCs w:val="22"/>
              </w:rPr>
              <w:t>SLT Lead</w:t>
            </w:r>
          </w:p>
        </w:tc>
        <w:tc>
          <w:tcPr>
            <w:tcW w:w="2175" w:type="dxa"/>
            <w:shd w:val="clear" w:color="auto" w:fill="auto"/>
            <w:tcMar>
              <w:top w:w="100" w:type="dxa"/>
              <w:left w:w="100" w:type="dxa"/>
              <w:bottom w:w="100" w:type="dxa"/>
              <w:right w:w="100" w:type="dxa"/>
            </w:tcMar>
          </w:tcPr>
          <w:p w14:paraId="4DA8095B" w14:textId="77777777" w:rsidR="00B771F7" w:rsidRDefault="00000000">
            <w:pPr>
              <w:widowControl w:val="0"/>
              <w:rPr>
                <w:rFonts w:ascii="Calibri" w:eastAsia="Calibri" w:hAnsi="Calibri" w:cs="Calibri"/>
                <w:b/>
                <w:color w:val="56B4A8"/>
                <w:sz w:val="22"/>
                <w:szCs w:val="22"/>
              </w:rPr>
            </w:pPr>
            <w:r>
              <w:rPr>
                <w:rFonts w:ascii="Calibri" w:eastAsia="Calibri" w:hAnsi="Calibri" w:cs="Calibri"/>
                <w:b/>
                <w:color w:val="56B4A8"/>
                <w:sz w:val="22"/>
                <w:szCs w:val="22"/>
              </w:rPr>
              <w:t xml:space="preserve">Russell </w:t>
            </w:r>
            <w:proofErr w:type="spellStart"/>
            <w:r>
              <w:rPr>
                <w:rFonts w:ascii="Calibri" w:eastAsia="Calibri" w:hAnsi="Calibri" w:cs="Calibri"/>
                <w:b/>
                <w:color w:val="56B4A8"/>
                <w:sz w:val="22"/>
                <w:szCs w:val="22"/>
              </w:rPr>
              <w:t>Chinery</w:t>
            </w:r>
            <w:proofErr w:type="spellEnd"/>
          </w:p>
        </w:tc>
      </w:tr>
    </w:tbl>
    <w:p w14:paraId="210F6320" w14:textId="77777777" w:rsidR="00B771F7" w:rsidRDefault="00B771F7">
      <w:pPr>
        <w:ind w:left="-567" w:right="-766"/>
        <w:rPr>
          <w:rFonts w:ascii="Arial" w:eastAsia="Arial" w:hAnsi="Arial" w:cs="Arial"/>
        </w:rPr>
      </w:pPr>
    </w:p>
    <w:p w14:paraId="665A85D5" w14:textId="77777777" w:rsidR="00B771F7" w:rsidRDefault="00B771F7">
      <w:pPr>
        <w:ind w:left="-567" w:right="-766"/>
        <w:rPr>
          <w:rFonts w:ascii="Arial" w:eastAsia="Arial" w:hAnsi="Arial" w:cs="Arial"/>
          <w:b/>
        </w:rPr>
      </w:pPr>
    </w:p>
    <w:p w14:paraId="39CD39F6" w14:textId="77777777" w:rsidR="00B771F7" w:rsidRDefault="00B771F7">
      <w:pPr>
        <w:ind w:left="-567" w:right="-766"/>
        <w:rPr>
          <w:rFonts w:ascii="Arial" w:eastAsia="Arial" w:hAnsi="Arial" w:cs="Arial"/>
          <w:b/>
        </w:rPr>
      </w:pPr>
    </w:p>
    <w:p w14:paraId="11355655" w14:textId="77777777" w:rsidR="00B771F7" w:rsidRDefault="00B771F7">
      <w:pPr>
        <w:spacing w:line="288" w:lineRule="auto"/>
        <w:ind w:left="-567" w:right="-766"/>
        <w:rPr>
          <w:rFonts w:ascii="Arial" w:eastAsia="Arial" w:hAnsi="Arial" w:cs="Arial"/>
          <w:b/>
        </w:rPr>
      </w:pPr>
    </w:p>
    <w:p w14:paraId="463DA4B0" w14:textId="77777777" w:rsidR="00B771F7" w:rsidRDefault="00B771F7">
      <w:pPr>
        <w:spacing w:line="288" w:lineRule="auto"/>
        <w:ind w:left="-567" w:right="-766"/>
        <w:rPr>
          <w:rFonts w:ascii="Arial" w:eastAsia="Arial" w:hAnsi="Arial" w:cs="Arial"/>
          <w:b/>
        </w:rPr>
      </w:pPr>
    </w:p>
    <w:p w14:paraId="45E3DB6A" w14:textId="77777777" w:rsidR="00B771F7" w:rsidRDefault="00B771F7">
      <w:pPr>
        <w:spacing w:line="288" w:lineRule="auto"/>
        <w:ind w:left="-567" w:right="-766"/>
        <w:rPr>
          <w:rFonts w:ascii="Arial" w:eastAsia="Arial" w:hAnsi="Arial" w:cs="Arial"/>
          <w:b/>
        </w:rPr>
      </w:pPr>
    </w:p>
    <w:p w14:paraId="5165456D" w14:textId="77777777" w:rsidR="00B771F7" w:rsidRDefault="00B771F7">
      <w:pPr>
        <w:spacing w:line="288" w:lineRule="auto"/>
        <w:ind w:left="-567" w:right="-766"/>
        <w:rPr>
          <w:rFonts w:ascii="Arial" w:eastAsia="Arial" w:hAnsi="Arial" w:cs="Arial"/>
          <w:b/>
        </w:rPr>
      </w:pPr>
    </w:p>
    <w:p w14:paraId="35255139" w14:textId="77777777" w:rsidR="00B771F7" w:rsidRDefault="00B771F7">
      <w:pPr>
        <w:spacing w:line="288" w:lineRule="auto"/>
        <w:ind w:left="-567" w:right="-766"/>
        <w:rPr>
          <w:rFonts w:ascii="Arial" w:eastAsia="Arial" w:hAnsi="Arial" w:cs="Arial"/>
          <w:b/>
        </w:rPr>
      </w:pPr>
    </w:p>
    <w:p w14:paraId="73A9BD63" w14:textId="77777777" w:rsidR="00B771F7" w:rsidRDefault="00B771F7">
      <w:pPr>
        <w:spacing w:line="288" w:lineRule="auto"/>
        <w:ind w:left="-567" w:right="-766"/>
        <w:rPr>
          <w:rFonts w:ascii="Arial" w:eastAsia="Arial" w:hAnsi="Arial" w:cs="Arial"/>
          <w:b/>
        </w:rPr>
      </w:pPr>
    </w:p>
    <w:p w14:paraId="51D37C52" w14:textId="77777777" w:rsidR="00B771F7" w:rsidRDefault="00B771F7">
      <w:pPr>
        <w:spacing w:line="288" w:lineRule="auto"/>
        <w:ind w:left="-567" w:right="-766"/>
        <w:rPr>
          <w:rFonts w:ascii="Arial" w:eastAsia="Arial" w:hAnsi="Arial" w:cs="Arial"/>
          <w:b/>
        </w:rPr>
      </w:pPr>
    </w:p>
    <w:p w14:paraId="39552B48" w14:textId="77777777" w:rsidR="00B771F7" w:rsidRDefault="00000000">
      <w:pPr>
        <w:spacing w:before="240" w:after="240"/>
        <w:jc w:val="both"/>
        <w:rPr>
          <w:rFonts w:ascii="Arial" w:eastAsia="Arial" w:hAnsi="Arial" w:cs="Arial"/>
        </w:rPr>
      </w:pPr>
      <w:r>
        <w:rPr>
          <w:noProof/>
        </w:rPr>
        <w:drawing>
          <wp:anchor distT="0" distB="0" distL="114300" distR="114300" simplePos="0" relativeHeight="251658240" behindDoc="0" locked="0" layoutInCell="1" hidden="0" allowOverlap="1" wp14:anchorId="4E904A75" wp14:editId="10853A15">
            <wp:simplePos x="0" y="0"/>
            <wp:positionH relativeFrom="column">
              <wp:posOffset>-1257297</wp:posOffset>
            </wp:positionH>
            <wp:positionV relativeFrom="paragraph">
              <wp:posOffset>506600</wp:posOffset>
            </wp:positionV>
            <wp:extent cx="8458200" cy="381000"/>
            <wp:effectExtent l="0" t="0" r="0" b="0"/>
            <wp:wrapSquare wrapText="bothSides" distT="0" distB="0" distL="114300" distR="11430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8458200" cy="381000"/>
                    </a:xfrm>
                    <a:prstGeom prst="rect">
                      <a:avLst/>
                    </a:prstGeom>
                    <a:ln/>
                  </pic:spPr>
                </pic:pic>
              </a:graphicData>
            </a:graphic>
          </wp:anchor>
        </w:drawing>
      </w:r>
    </w:p>
    <w:p w14:paraId="136A4CAA" w14:textId="77777777" w:rsidR="00B771F7" w:rsidRDefault="00000000">
      <w:pPr>
        <w:rPr>
          <w:rFonts w:ascii="Arial" w:eastAsia="Arial" w:hAnsi="Arial" w:cs="Arial"/>
        </w:rPr>
        <w:sectPr w:rsidR="00B771F7">
          <w:headerReference w:type="even" r:id="rId10"/>
          <w:headerReference w:type="default" r:id="rId11"/>
          <w:footerReference w:type="even" r:id="rId12"/>
          <w:footerReference w:type="default" r:id="rId13"/>
          <w:headerReference w:type="first" r:id="rId14"/>
          <w:footerReference w:type="first" r:id="rId15"/>
          <w:pgSz w:w="11900" w:h="16840"/>
          <w:pgMar w:top="2098" w:right="1314" w:bottom="1440" w:left="1797" w:header="709" w:footer="412" w:gutter="0"/>
          <w:pgNumType w:start="1"/>
          <w:cols w:space="720"/>
          <w:titlePg/>
        </w:sectPr>
      </w:pPr>
      <w:r>
        <w:rPr>
          <w:rFonts w:ascii="Arial" w:eastAsia="Arial" w:hAnsi="Arial" w:cs="Arial"/>
        </w:rPr>
        <w:t xml:space="preserve"> </w:t>
      </w:r>
    </w:p>
    <w:p w14:paraId="565270B4" w14:textId="5F52226F" w:rsidR="00BA35A8" w:rsidRPr="00BA35A8" w:rsidRDefault="00BA35A8" w:rsidP="00BA35A8">
      <w:pPr>
        <w:pStyle w:val="Heading2"/>
        <w:rPr>
          <w:rFonts w:asciiTheme="majorHAnsi" w:hAnsiTheme="majorHAnsi" w:cstheme="majorHAnsi"/>
          <w:color w:val="000000"/>
          <w:sz w:val="24"/>
          <w:szCs w:val="24"/>
        </w:rPr>
      </w:pPr>
      <w:r w:rsidRPr="00BA35A8">
        <w:rPr>
          <w:rFonts w:asciiTheme="majorHAnsi" w:hAnsiTheme="majorHAnsi" w:cstheme="majorHAnsi"/>
          <w:color w:val="000000"/>
          <w:sz w:val="24"/>
          <w:szCs w:val="24"/>
        </w:rPr>
        <w:lastRenderedPageBreak/>
        <w:t>Purpose</w:t>
      </w:r>
    </w:p>
    <w:p w14:paraId="33BA9F7B" w14:textId="77777777" w:rsidR="00BA35A8" w:rsidRPr="00BA35A8" w:rsidRDefault="00BA35A8" w:rsidP="00BA35A8">
      <w:pPr>
        <w:pStyle w:val="NormalWeb"/>
        <w:spacing w:before="240" w:beforeAutospacing="0" w:after="240" w:afterAutospacing="0"/>
        <w:rPr>
          <w:rFonts w:asciiTheme="majorHAnsi" w:hAnsiTheme="majorHAnsi" w:cstheme="majorHAnsi"/>
          <w:color w:val="000000"/>
        </w:rPr>
      </w:pPr>
      <w:r w:rsidRPr="00BA35A8">
        <w:rPr>
          <w:rFonts w:asciiTheme="majorHAnsi" w:hAnsiTheme="majorHAnsi" w:cstheme="majorHAnsi"/>
          <w:color w:val="000000"/>
        </w:rPr>
        <w:t xml:space="preserve">This policy sets out Iffley Academy’s approach to Relationships and Sex Education (RSE) in line with the Department for Education’s statutory guidance (2025). RSE is an integral part of our curriculum and wider provision, contributing to the personal development, safeguarding, </w:t>
      </w:r>
      <w:proofErr w:type="gramStart"/>
      <w:r w:rsidRPr="00BA35A8">
        <w:rPr>
          <w:rFonts w:asciiTheme="majorHAnsi" w:hAnsiTheme="majorHAnsi" w:cstheme="majorHAnsi"/>
          <w:color w:val="000000"/>
        </w:rPr>
        <w:t>health</w:t>
      </w:r>
      <w:proofErr w:type="gramEnd"/>
      <w:r w:rsidRPr="00BA35A8">
        <w:rPr>
          <w:rFonts w:asciiTheme="majorHAnsi" w:hAnsiTheme="majorHAnsi" w:cstheme="majorHAnsi"/>
          <w:color w:val="000000"/>
        </w:rPr>
        <w:t xml:space="preserve"> and wellbeing of all students.</w:t>
      </w:r>
    </w:p>
    <w:p w14:paraId="1984EF5A" w14:textId="77777777" w:rsidR="00BA35A8" w:rsidRPr="00BA35A8" w:rsidRDefault="00BA35A8" w:rsidP="00BA35A8">
      <w:pPr>
        <w:pStyle w:val="NormalWeb"/>
        <w:spacing w:before="240" w:beforeAutospacing="0" w:after="240" w:afterAutospacing="0"/>
        <w:rPr>
          <w:rFonts w:asciiTheme="majorHAnsi" w:hAnsiTheme="majorHAnsi" w:cstheme="majorHAnsi"/>
          <w:color w:val="000000"/>
        </w:rPr>
      </w:pPr>
      <w:r w:rsidRPr="00BA35A8">
        <w:rPr>
          <w:rFonts w:asciiTheme="majorHAnsi" w:hAnsiTheme="majorHAnsi" w:cstheme="majorHAnsi"/>
          <w:color w:val="000000"/>
        </w:rPr>
        <w:t xml:space="preserve">RSE supports our school purpose: </w:t>
      </w:r>
      <w:r w:rsidRPr="00BA35A8">
        <w:rPr>
          <w:rFonts w:asciiTheme="majorHAnsi" w:hAnsiTheme="majorHAnsi" w:cstheme="majorHAnsi"/>
          <w:i/>
          <w:iCs/>
          <w:color w:val="000000"/>
        </w:rPr>
        <w:t xml:space="preserve">to educate, inspire and celebrate our students so they </w:t>
      </w:r>
      <w:proofErr w:type="gramStart"/>
      <w:r w:rsidRPr="00BA35A8">
        <w:rPr>
          <w:rFonts w:asciiTheme="majorHAnsi" w:hAnsiTheme="majorHAnsi" w:cstheme="majorHAnsi"/>
          <w:i/>
          <w:iCs/>
          <w:color w:val="000000"/>
        </w:rPr>
        <w:t>are able to</w:t>
      </w:r>
      <w:proofErr w:type="gramEnd"/>
      <w:r w:rsidRPr="00BA35A8">
        <w:rPr>
          <w:rFonts w:asciiTheme="majorHAnsi" w:hAnsiTheme="majorHAnsi" w:cstheme="majorHAnsi"/>
          <w:i/>
          <w:iCs/>
          <w:color w:val="000000"/>
        </w:rPr>
        <w:t xml:space="preserve"> reach their full potential as active citizens, resilient learners, valued employees, and confident individuals</w:t>
      </w:r>
      <w:r w:rsidRPr="00BA35A8">
        <w:rPr>
          <w:rFonts w:asciiTheme="majorHAnsi" w:hAnsiTheme="majorHAnsi" w:cstheme="majorHAnsi"/>
          <w:color w:val="000000"/>
        </w:rPr>
        <w:t>.</w:t>
      </w:r>
    </w:p>
    <w:p w14:paraId="705DF4A5" w14:textId="77777777" w:rsidR="00BA35A8" w:rsidRPr="00BA35A8" w:rsidRDefault="00BA35A8" w:rsidP="00BA35A8">
      <w:pPr>
        <w:pStyle w:val="NormalWeb"/>
        <w:spacing w:before="0" w:beforeAutospacing="0" w:after="0" w:afterAutospacing="0"/>
        <w:ind w:right="-120"/>
        <w:rPr>
          <w:rFonts w:asciiTheme="majorHAnsi" w:hAnsiTheme="majorHAnsi" w:cstheme="majorHAnsi"/>
          <w:color w:val="000000"/>
        </w:rPr>
      </w:pPr>
    </w:p>
    <w:p w14:paraId="585B0032" w14:textId="6CC22DA5" w:rsidR="00BA35A8" w:rsidRPr="00BA35A8" w:rsidRDefault="00BA35A8" w:rsidP="00BA35A8">
      <w:pPr>
        <w:pStyle w:val="NormalWeb"/>
        <w:spacing w:before="0" w:beforeAutospacing="0" w:after="0" w:afterAutospacing="0"/>
        <w:ind w:right="-120"/>
        <w:rPr>
          <w:rFonts w:asciiTheme="majorHAnsi" w:hAnsiTheme="majorHAnsi" w:cstheme="majorHAnsi"/>
          <w:b/>
          <w:bCs/>
          <w:color w:val="000000"/>
        </w:rPr>
      </w:pPr>
      <w:r w:rsidRPr="00BA35A8">
        <w:rPr>
          <w:rFonts w:asciiTheme="majorHAnsi" w:hAnsiTheme="majorHAnsi" w:cstheme="majorHAnsi"/>
          <w:b/>
          <w:bCs/>
          <w:color w:val="000000"/>
        </w:rPr>
        <w:t>Aims and Values</w:t>
      </w:r>
    </w:p>
    <w:p w14:paraId="362358FA" w14:textId="77777777" w:rsidR="00BA35A8" w:rsidRPr="00BA35A8" w:rsidRDefault="00BA35A8" w:rsidP="00BA35A8">
      <w:pPr>
        <w:pStyle w:val="NormalWeb"/>
        <w:spacing w:before="240" w:beforeAutospacing="0" w:after="240" w:afterAutospacing="0"/>
        <w:rPr>
          <w:rFonts w:asciiTheme="majorHAnsi" w:hAnsiTheme="majorHAnsi" w:cstheme="majorHAnsi"/>
          <w:color w:val="000000"/>
        </w:rPr>
      </w:pPr>
      <w:r w:rsidRPr="00BA35A8">
        <w:rPr>
          <w:rFonts w:asciiTheme="majorHAnsi" w:hAnsiTheme="majorHAnsi" w:cstheme="majorHAnsi"/>
          <w:color w:val="000000"/>
        </w:rPr>
        <w:t xml:space="preserve">Our RSE curriculum is built on Iffley’s core values of </w:t>
      </w:r>
      <w:r w:rsidRPr="00BA35A8">
        <w:rPr>
          <w:rFonts w:asciiTheme="majorHAnsi" w:hAnsiTheme="majorHAnsi" w:cstheme="majorHAnsi"/>
          <w:b/>
          <w:bCs/>
          <w:color w:val="000000"/>
        </w:rPr>
        <w:t xml:space="preserve">Respect, Confidence, Responsibility, Reflection, </w:t>
      </w:r>
      <w:proofErr w:type="gramStart"/>
      <w:r w:rsidRPr="00BA35A8">
        <w:rPr>
          <w:rFonts w:asciiTheme="majorHAnsi" w:hAnsiTheme="majorHAnsi" w:cstheme="majorHAnsi"/>
          <w:b/>
          <w:bCs/>
          <w:color w:val="000000"/>
        </w:rPr>
        <w:t>Resilience</w:t>
      </w:r>
      <w:proofErr w:type="gramEnd"/>
      <w:r w:rsidRPr="00BA35A8">
        <w:rPr>
          <w:rFonts w:asciiTheme="majorHAnsi" w:hAnsiTheme="majorHAnsi" w:cstheme="majorHAnsi"/>
          <w:b/>
          <w:bCs/>
          <w:color w:val="000000"/>
        </w:rPr>
        <w:t xml:space="preserve"> and Individuality</w:t>
      </w:r>
      <w:r w:rsidRPr="00BA35A8">
        <w:rPr>
          <w:rFonts w:asciiTheme="majorHAnsi" w:hAnsiTheme="majorHAnsi" w:cstheme="majorHAnsi"/>
          <w:color w:val="000000"/>
        </w:rPr>
        <w:t>.</w:t>
      </w:r>
    </w:p>
    <w:p w14:paraId="05194E5C" w14:textId="77777777" w:rsidR="00BA35A8" w:rsidRPr="00BA35A8" w:rsidRDefault="00BA35A8" w:rsidP="00BA35A8">
      <w:pPr>
        <w:pStyle w:val="NormalWeb"/>
        <w:spacing w:before="240" w:beforeAutospacing="0" w:after="240" w:afterAutospacing="0"/>
        <w:rPr>
          <w:rFonts w:asciiTheme="majorHAnsi" w:hAnsiTheme="majorHAnsi" w:cstheme="majorHAnsi"/>
          <w:color w:val="000000"/>
        </w:rPr>
      </w:pPr>
      <w:r w:rsidRPr="00BA35A8">
        <w:rPr>
          <w:rFonts w:asciiTheme="majorHAnsi" w:hAnsiTheme="majorHAnsi" w:cstheme="majorHAnsi"/>
          <w:color w:val="000000"/>
        </w:rPr>
        <w:t>Through RSE, we aim to:</w:t>
      </w:r>
    </w:p>
    <w:p w14:paraId="36DFC33D" w14:textId="77777777" w:rsidR="00BA35A8" w:rsidRPr="00BA35A8" w:rsidRDefault="00BA35A8" w:rsidP="00BA35A8">
      <w:pPr>
        <w:pStyle w:val="NormalWeb"/>
        <w:numPr>
          <w:ilvl w:val="0"/>
          <w:numId w:val="14"/>
        </w:numPr>
        <w:spacing w:before="240" w:beforeAutospacing="0" w:after="0" w:afterAutospacing="0"/>
        <w:textAlignment w:val="baseline"/>
        <w:rPr>
          <w:rFonts w:asciiTheme="majorHAnsi" w:hAnsiTheme="majorHAnsi" w:cstheme="majorHAnsi"/>
          <w:color w:val="000000"/>
        </w:rPr>
      </w:pPr>
      <w:r w:rsidRPr="00BA35A8">
        <w:rPr>
          <w:rFonts w:asciiTheme="majorHAnsi" w:hAnsiTheme="majorHAnsi" w:cstheme="majorHAnsi"/>
          <w:color w:val="000000"/>
        </w:rPr>
        <w:t xml:space="preserve">Provide pupils with the knowledge, understanding and skills to form healthy, </w:t>
      </w:r>
      <w:proofErr w:type="gramStart"/>
      <w:r w:rsidRPr="00BA35A8">
        <w:rPr>
          <w:rFonts w:asciiTheme="majorHAnsi" w:hAnsiTheme="majorHAnsi" w:cstheme="majorHAnsi"/>
          <w:color w:val="000000"/>
        </w:rPr>
        <w:t>respectful</w:t>
      </w:r>
      <w:proofErr w:type="gramEnd"/>
      <w:r w:rsidRPr="00BA35A8">
        <w:rPr>
          <w:rFonts w:asciiTheme="majorHAnsi" w:hAnsiTheme="majorHAnsi" w:cstheme="majorHAnsi"/>
          <w:color w:val="000000"/>
        </w:rPr>
        <w:t xml:space="preserve"> and safe relationships. </w:t>
      </w:r>
    </w:p>
    <w:p w14:paraId="4151CE42" w14:textId="77777777" w:rsidR="00BA35A8" w:rsidRPr="00BA35A8" w:rsidRDefault="00BA35A8" w:rsidP="00BA35A8">
      <w:pPr>
        <w:pStyle w:val="NormalWeb"/>
        <w:numPr>
          <w:ilvl w:val="0"/>
          <w:numId w:val="14"/>
        </w:numPr>
        <w:spacing w:before="0" w:beforeAutospacing="0" w:after="0" w:afterAutospacing="0"/>
        <w:textAlignment w:val="baseline"/>
        <w:rPr>
          <w:rFonts w:asciiTheme="majorHAnsi" w:hAnsiTheme="majorHAnsi" w:cstheme="majorHAnsi"/>
          <w:color w:val="000000"/>
        </w:rPr>
      </w:pPr>
      <w:r w:rsidRPr="00BA35A8">
        <w:rPr>
          <w:rFonts w:asciiTheme="majorHAnsi" w:hAnsiTheme="majorHAnsi" w:cstheme="majorHAnsi"/>
          <w:color w:val="000000"/>
        </w:rPr>
        <w:t>Support students to develop independence, emotional regulation, and the confidence to communicate effectively. </w:t>
      </w:r>
    </w:p>
    <w:p w14:paraId="7A627E4F" w14:textId="77777777" w:rsidR="00BA35A8" w:rsidRPr="00BA35A8" w:rsidRDefault="00BA35A8" w:rsidP="00BA35A8">
      <w:pPr>
        <w:pStyle w:val="NormalWeb"/>
        <w:numPr>
          <w:ilvl w:val="0"/>
          <w:numId w:val="14"/>
        </w:numPr>
        <w:spacing w:before="0" w:beforeAutospacing="0" w:after="0" w:afterAutospacing="0"/>
        <w:textAlignment w:val="baseline"/>
        <w:rPr>
          <w:rFonts w:asciiTheme="majorHAnsi" w:hAnsiTheme="majorHAnsi" w:cstheme="majorHAnsi"/>
          <w:color w:val="000000"/>
        </w:rPr>
      </w:pPr>
      <w:r w:rsidRPr="00BA35A8">
        <w:rPr>
          <w:rFonts w:asciiTheme="majorHAnsi" w:hAnsiTheme="majorHAnsi" w:cstheme="majorHAnsi"/>
          <w:color w:val="000000"/>
        </w:rPr>
        <w:t>Promote equality and inclusion, challenging stereotypes and ensuring students are respected as individuals. </w:t>
      </w:r>
    </w:p>
    <w:p w14:paraId="2F948FB7" w14:textId="77777777" w:rsidR="00BA35A8" w:rsidRPr="00BA35A8" w:rsidRDefault="00BA35A8" w:rsidP="00BA35A8">
      <w:pPr>
        <w:pStyle w:val="NormalWeb"/>
        <w:numPr>
          <w:ilvl w:val="0"/>
          <w:numId w:val="14"/>
        </w:numPr>
        <w:spacing w:before="0" w:beforeAutospacing="0" w:after="0" w:afterAutospacing="0"/>
        <w:textAlignment w:val="baseline"/>
        <w:rPr>
          <w:rFonts w:asciiTheme="majorHAnsi" w:hAnsiTheme="majorHAnsi" w:cstheme="majorHAnsi"/>
          <w:color w:val="000000"/>
        </w:rPr>
      </w:pPr>
      <w:r w:rsidRPr="00BA35A8">
        <w:rPr>
          <w:rFonts w:asciiTheme="majorHAnsi" w:hAnsiTheme="majorHAnsi" w:cstheme="majorHAnsi"/>
          <w:color w:val="000000"/>
        </w:rPr>
        <w:t xml:space="preserve">Enable pupils to make informed decisions as they prepare for adulthood, including education, </w:t>
      </w:r>
      <w:proofErr w:type="gramStart"/>
      <w:r w:rsidRPr="00BA35A8">
        <w:rPr>
          <w:rFonts w:asciiTheme="majorHAnsi" w:hAnsiTheme="majorHAnsi" w:cstheme="majorHAnsi"/>
          <w:color w:val="000000"/>
        </w:rPr>
        <w:t>employment</w:t>
      </w:r>
      <w:proofErr w:type="gramEnd"/>
      <w:r w:rsidRPr="00BA35A8">
        <w:rPr>
          <w:rFonts w:asciiTheme="majorHAnsi" w:hAnsiTheme="majorHAnsi" w:cstheme="majorHAnsi"/>
          <w:color w:val="000000"/>
        </w:rPr>
        <w:t xml:space="preserve"> and family life. </w:t>
      </w:r>
    </w:p>
    <w:p w14:paraId="715A326C" w14:textId="77777777" w:rsidR="00BA35A8" w:rsidRPr="00BA35A8" w:rsidRDefault="00BA35A8" w:rsidP="00BA35A8">
      <w:pPr>
        <w:pStyle w:val="NormalWeb"/>
        <w:numPr>
          <w:ilvl w:val="0"/>
          <w:numId w:val="14"/>
        </w:numPr>
        <w:spacing w:before="0" w:beforeAutospacing="0" w:after="0" w:afterAutospacing="0"/>
        <w:textAlignment w:val="baseline"/>
        <w:rPr>
          <w:rFonts w:asciiTheme="majorHAnsi" w:hAnsiTheme="majorHAnsi" w:cstheme="majorHAnsi"/>
          <w:color w:val="000000"/>
        </w:rPr>
      </w:pPr>
      <w:r w:rsidRPr="00BA35A8">
        <w:rPr>
          <w:rFonts w:asciiTheme="majorHAnsi" w:hAnsiTheme="majorHAnsi" w:cstheme="majorHAnsi"/>
          <w:color w:val="000000"/>
        </w:rPr>
        <w:t>Safeguard all students by equipping them with the knowledge to recognise unsafe situations and seek help when needed. </w:t>
      </w:r>
    </w:p>
    <w:p w14:paraId="2EDD0A51" w14:textId="0A945C36" w:rsidR="00BA35A8" w:rsidRPr="00BA35A8" w:rsidRDefault="00BA35A8" w:rsidP="00BA35A8">
      <w:pPr>
        <w:pStyle w:val="NormalWeb"/>
        <w:numPr>
          <w:ilvl w:val="0"/>
          <w:numId w:val="14"/>
        </w:numPr>
        <w:spacing w:before="0" w:beforeAutospacing="0" w:after="240" w:afterAutospacing="0"/>
        <w:textAlignment w:val="baseline"/>
        <w:rPr>
          <w:rFonts w:asciiTheme="majorHAnsi" w:hAnsiTheme="majorHAnsi" w:cstheme="majorHAnsi"/>
          <w:color w:val="000000"/>
        </w:rPr>
      </w:pPr>
      <w:r w:rsidRPr="00BA35A8">
        <w:rPr>
          <w:rFonts w:asciiTheme="majorHAnsi" w:hAnsiTheme="majorHAnsi" w:cstheme="majorHAnsi"/>
          <w:color w:val="000000"/>
        </w:rPr>
        <w:t>Embed RSE within the wider method of Restorative Approached, student voice and community engagement. </w:t>
      </w:r>
    </w:p>
    <w:p w14:paraId="70E1978B" w14:textId="4B4FF997" w:rsidR="00BA35A8" w:rsidRPr="00BA35A8" w:rsidRDefault="00BA35A8" w:rsidP="00BA35A8">
      <w:pPr>
        <w:pStyle w:val="Heading2"/>
        <w:rPr>
          <w:rFonts w:asciiTheme="majorHAnsi" w:hAnsiTheme="majorHAnsi" w:cstheme="majorHAnsi"/>
          <w:color w:val="000000"/>
          <w:sz w:val="24"/>
          <w:szCs w:val="24"/>
        </w:rPr>
      </w:pPr>
      <w:r w:rsidRPr="00BA35A8">
        <w:rPr>
          <w:rFonts w:asciiTheme="majorHAnsi" w:hAnsiTheme="majorHAnsi" w:cstheme="majorHAnsi"/>
          <w:color w:val="000000"/>
          <w:sz w:val="24"/>
          <w:szCs w:val="24"/>
        </w:rPr>
        <w:t>Coverage</w:t>
      </w:r>
    </w:p>
    <w:p w14:paraId="197FB2B3" w14:textId="0B008FF9" w:rsidR="00BA35A8" w:rsidRPr="00BA35A8" w:rsidRDefault="00BA35A8" w:rsidP="00BA35A8">
      <w:pPr>
        <w:pStyle w:val="NormalWeb"/>
        <w:spacing w:before="240" w:beforeAutospacing="0" w:after="240" w:afterAutospacing="0"/>
        <w:rPr>
          <w:rFonts w:asciiTheme="majorHAnsi" w:hAnsiTheme="majorHAnsi" w:cstheme="majorHAnsi"/>
          <w:color w:val="000000"/>
        </w:rPr>
      </w:pPr>
      <w:r w:rsidRPr="00BA35A8">
        <w:rPr>
          <w:rFonts w:asciiTheme="majorHAnsi" w:hAnsiTheme="majorHAnsi" w:cstheme="majorHAnsi"/>
          <w:color w:val="000000"/>
        </w:rPr>
        <w:t>RSE at Iffley Academy is delivered through a spiralled curriculum, ensuring that knowledge and skills are revisited and built upon in an age-appropriate way. Provision is tailored to meet the diverse needs of our learners and is closely aligned with EHCP outcomes.</w:t>
      </w:r>
    </w:p>
    <w:p w14:paraId="52F7329A" w14:textId="77777777" w:rsidR="00BA35A8" w:rsidRPr="00BA35A8" w:rsidRDefault="00BA35A8" w:rsidP="00BA35A8">
      <w:pPr>
        <w:pStyle w:val="NormalWeb"/>
        <w:spacing w:before="240" w:beforeAutospacing="0" w:after="240" w:afterAutospacing="0"/>
        <w:rPr>
          <w:rFonts w:asciiTheme="majorHAnsi" w:hAnsiTheme="majorHAnsi" w:cstheme="majorHAnsi"/>
          <w:color w:val="000000"/>
        </w:rPr>
      </w:pPr>
      <w:r w:rsidRPr="00BA35A8">
        <w:rPr>
          <w:rFonts w:asciiTheme="majorHAnsi" w:hAnsiTheme="majorHAnsi" w:cstheme="majorHAnsi"/>
          <w:color w:val="000000"/>
        </w:rPr>
        <w:t xml:space="preserve">Coverage </w:t>
      </w:r>
      <w:proofErr w:type="spellStart"/>
      <w:r w:rsidRPr="00BA35A8">
        <w:rPr>
          <w:rFonts w:asciiTheme="majorHAnsi" w:hAnsiTheme="majorHAnsi" w:cstheme="majorHAnsi"/>
          <w:color w:val="000000"/>
        </w:rPr>
        <w:t>includesL</w:t>
      </w:r>
      <w:proofErr w:type="spellEnd"/>
    </w:p>
    <w:p w14:paraId="705D12E9" w14:textId="77777777" w:rsidR="00BA35A8" w:rsidRPr="00BA35A8" w:rsidRDefault="00BA35A8" w:rsidP="00BA35A8">
      <w:pPr>
        <w:pStyle w:val="NormalWeb"/>
        <w:numPr>
          <w:ilvl w:val="0"/>
          <w:numId w:val="15"/>
        </w:numPr>
        <w:spacing w:before="240" w:beforeAutospacing="0" w:after="0" w:afterAutospacing="0"/>
        <w:textAlignment w:val="baseline"/>
        <w:rPr>
          <w:rFonts w:asciiTheme="majorHAnsi" w:hAnsiTheme="majorHAnsi" w:cstheme="majorHAnsi"/>
          <w:color w:val="000000"/>
        </w:rPr>
      </w:pPr>
      <w:r w:rsidRPr="00BA35A8">
        <w:rPr>
          <w:rFonts w:asciiTheme="majorHAnsi" w:hAnsiTheme="majorHAnsi" w:cstheme="majorHAnsi"/>
          <w:b/>
          <w:bCs/>
          <w:color w:val="000000"/>
        </w:rPr>
        <w:t>Families and respectful relationships</w:t>
      </w:r>
      <w:r w:rsidRPr="00BA35A8">
        <w:rPr>
          <w:rFonts w:asciiTheme="majorHAnsi" w:hAnsiTheme="majorHAnsi" w:cstheme="majorHAnsi"/>
          <w:color w:val="000000"/>
        </w:rPr>
        <w:t>: different family structures, respect for others, caring and healthy relationships.</w:t>
      </w:r>
    </w:p>
    <w:p w14:paraId="3DAB7419" w14:textId="77777777" w:rsidR="00BA35A8" w:rsidRPr="00BA35A8" w:rsidRDefault="00BA35A8" w:rsidP="00BA35A8">
      <w:pPr>
        <w:pStyle w:val="NormalWeb"/>
        <w:numPr>
          <w:ilvl w:val="0"/>
          <w:numId w:val="15"/>
        </w:numPr>
        <w:spacing w:before="0" w:beforeAutospacing="0" w:after="0" w:afterAutospacing="0"/>
        <w:textAlignment w:val="baseline"/>
        <w:rPr>
          <w:rFonts w:asciiTheme="majorHAnsi" w:hAnsiTheme="majorHAnsi" w:cstheme="majorHAnsi"/>
          <w:color w:val="000000"/>
        </w:rPr>
      </w:pPr>
      <w:r w:rsidRPr="00BA35A8">
        <w:rPr>
          <w:rFonts w:asciiTheme="majorHAnsi" w:hAnsiTheme="majorHAnsi" w:cstheme="majorHAnsi"/>
          <w:b/>
          <w:bCs/>
          <w:color w:val="000000"/>
        </w:rPr>
        <w:t>Friendships and online relationships</w:t>
      </w:r>
      <w:r w:rsidRPr="00BA35A8">
        <w:rPr>
          <w:rFonts w:asciiTheme="majorHAnsi" w:hAnsiTheme="majorHAnsi" w:cstheme="majorHAnsi"/>
          <w:color w:val="000000"/>
        </w:rPr>
        <w:t xml:space="preserve">: safe, </w:t>
      </w:r>
      <w:proofErr w:type="gramStart"/>
      <w:r w:rsidRPr="00BA35A8">
        <w:rPr>
          <w:rFonts w:asciiTheme="majorHAnsi" w:hAnsiTheme="majorHAnsi" w:cstheme="majorHAnsi"/>
          <w:color w:val="000000"/>
        </w:rPr>
        <w:t>respectful</w:t>
      </w:r>
      <w:proofErr w:type="gramEnd"/>
      <w:r w:rsidRPr="00BA35A8">
        <w:rPr>
          <w:rFonts w:asciiTheme="majorHAnsi" w:hAnsiTheme="majorHAnsi" w:cstheme="majorHAnsi"/>
          <w:color w:val="000000"/>
        </w:rPr>
        <w:t xml:space="preserve"> and responsible behaviour online and offline.</w:t>
      </w:r>
    </w:p>
    <w:p w14:paraId="7591BBDE" w14:textId="77777777" w:rsidR="00BA35A8" w:rsidRPr="00BA35A8" w:rsidRDefault="00BA35A8" w:rsidP="00BA35A8">
      <w:pPr>
        <w:pStyle w:val="NormalWeb"/>
        <w:numPr>
          <w:ilvl w:val="0"/>
          <w:numId w:val="15"/>
        </w:numPr>
        <w:spacing w:before="0" w:beforeAutospacing="0" w:after="0" w:afterAutospacing="0"/>
        <w:textAlignment w:val="baseline"/>
        <w:rPr>
          <w:rFonts w:asciiTheme="majorHAnsi" w:hAnsiTheme="majorHAnsi" w:cstheme="majorHAnsi"/>
          <w:color w:val="000000"/>
        </w:rPr>
      </w:pPr>
      <w:r w:rsidRPr="00BA35A8">
        <w:rPr>
          <w:rFonts w:asciiTheme="majorHAnsi" w:hAnsiTheme="majorHAnsi" w:cstheme="majorHAnsi"/>
          <w:color w:val="000000"/>
        </w:rPr>
        <w:lastRenderedPageBreak/>
        <w:t> </w:t>
      </w:r>
      <w:r w:rsidRPr="00BA35A8">
        <w:rPr>
          <w:rFonts w:asciiTheme="majorHAnsi" w:hAnsiTheme="majorHAnsi" w:cstheme="majorHAnsi"/>
          <w:b/>
          <w:bCs/>
          <w:color w:val="000000"/>
        </w:rPr>
        <w:t>Intimacy and consent</w:t>
      </w:r>
      <w:r w:rsidRPr="00BA35A8">
        <w:rPr>
          <w:rFonts w:asciiTheme="majorHAnsi" w:hAnsiTheme="majorHAnsi" w:cstheme="majorHAnsi"/>
          <w:color w:val="000000"/>
        </w:rPr>
        <w:t>: understanding personal boundaries, respect for others, and the law.</w:t>
      </w:r>
    </w:p>
    <w:p w14:paraId="72E13D37" w14:textId="77777777" w:rsidR="00BA35A8" w:rsidRPr="00BA35A8" w:rsidRDefault="00BA35A8" w:rsidP="00BA35A8">
      <w:pPr>
        <w:pStyle w:val="NormalWeb"/>
        <w:numPr>
          <w:ilvl w:val="0"/>
          <w:numId w:val="15"/>
        </w:numPr>
        <w:spacing w:before="0" w:beforeAutospacing="0" w:after="0" w:afterAutospacing="0"/>
        <w:textAlignment w:val="baseline"/>
        <w:rPr>
          <w:rFonts w:asciiTheme="majorHAnsi" w:hAnsiTheme="majorHAnsi" w:cstheme="majorHAnsi"/>
          <w:color w:val="000000"/>
        </w:rPr>
      </w:pPr>
      <w:r w:rsidRPr="00BA35A8">
        <w:rPr>
          <w:rFonts w:asciiTheme="majorHAnsi" w:hAnsiTheme="majorHAnsi" w:cstheme="majorHAnsi"/>
          <w:color w:val="000000"/>
        </w:rPr>
        <w:t> </w:t>
      </w:r>
      <w:r w:rsidRPr="00BA35A8">
        <w:rPr>
          <w:rFonts w:asciiTheme="majorHAnsi" w:hAnsiTheme="majorHAnsi" w:cstheme="majorHAnsi"/>
          <w:b/>
          <w:bCs/>
          <w:color w:val="000000"/>
        </w:rPr>
        <w:t>Health and wellbeing</w:t>
      </w:r>
      <w:r w:rsidRPr="00BA35A8">
        <w:rPr>
          <w:rFonts w:asciiTheme="majorHAnsi" w:hAnsiTheme="majorHAnsi" w:cstheme="majorHAnsi"/>
          <w:color w:val="000000"/>
        </w:rPr>
        <w:t>: puberty, sexual health, hygiene, and emotional regulation.</w:t>
      </w:r>
    </w:p>
    <w:p w14:paraId="45F653B4" w14:textId="77777777" w:rsidR="00BA35A8" w:rsidRPr="00BA35A8" w:rsidRDefault="00BA35A8" w:rsidP="00BA35A8">
      <w:pPr>
        <w:pStyle w:val="NormalWeb"/>
        <w:numPr>
          <w:ilvl w:val="0"/>
          <w:numId w:val="15"/>
        </w:numPr>
        <w:spacing w:before="0" w:beforeAutospacing="0" w:after="0" w:afterAutospacing="0"/>
        <w:textAlignment w:val="baseline"/>
        <w:rPr>
          <w:rFonts w:asciiTheme="majorHAnsi" w:hAnsiTheme="majorHAnsi" w:cstheme="majorHAnsi"/>
          <w:color w:val="000000"/>
        </w:rPr>
      </w:pPr>
      <w:r w:rsidRPr="00BA35A8">
        <w:rPr>
          <w:rFonts w:asciiTheme="majorHAnsi" w:hAnsiTheme="majorHAnsi" w:cstheme="majorHAnsi"/>
          <w:color w:val="000000"/>
        </w:rPr>
        <w:t>  </w:t>
      </w:r>
      <w:r w:rsidRPr="00BA35A8">
        <w:rPr>
          <w:rFonts w:asciiTheme="majorHAnsi" w:hAnsiTheme="majorHAnsi" w:cstheme="majorHAnsi"/>
          <w:b/>
          <w:bCs/>
          <w:color w:val="000000"/>
        </w:rPr>
        <w:t>Keeping safe</w:t>
      </w:r>
      <w:r w:rsidRPr="00BA35A8">
        <w:rPr>
          <w:rFonts w:asciiTheme="majorHAnsi" w:hAnsiTheme="majorHAnsi" w:cstheme="majorHAnsi"/>
          <w:color w:val="000000"/>
        </w:rPr>
        <w:t>: recognising risks, seeking support, and understanding safeguarding in personal and online contexts.</w:t>
      </w:r>
    </w:p>
    <w:p w14:paraId="15F5E973" w14:textId="77777777" w:rsidR="00BA35A8" w:rsidRPr="00BA35A8" w:rsidRDefault="00BA35A8" w:rsidP="00BA35A8">
      <w:pPr>
        <w:pStyle w:val="NormalWeb"/>
        <w:numPr>
          <w:ilvl w:val="0"/>
          <w:numId w:val="15"/>
        </w:numPr>
        <w:spacing w:before="0" w:beforeAutospacing="0" w:after="240" w:afterAutospacing="0"/>
        <w:textAlignment w:val="baseline"/>
        <w:rPr>
          <w:rFonts w:asciiTheme="majorHAnsi" w:hAnsiTheme="majorHAnsi" w:cstheme="majorHAnsi"/>
          <w:color w:val="000000"/>
        </w:rPr>
      </w:pPr>
      <w:r w:rsidRPr="00BA35A8">
        <w:rPr>
          <w:rFonts w:asciiTheme="majorHAnsi" w:hAnsiTheme="majorHAnsi" w:cstheme="majorHAnsi"/>
          <w:b/>
          <w:bCs/>
          <w:color w:val="000000"/>
        </w:rPr>
        <w:t>Preparation for adulthood</w:t>
      </w:r>
      <w:r w:rsidRPr="00BA35A8">
        <w:rPr>
          <w:rFonts w:asciiTheme="majorHAnsi" w:hAnsiTheme="majorHAnsi" w:cstheme="majorHAnsi"/>
          <w:color w:val="000000"/>
        </w:rPr>
        <w:t>: education, employment, independence, and life skills.</w:t>
      </w:r>
    </w:p>
    <w:p w14:paraId="0F540956" w14:textId="53D8312E" w:rsidR="00BA35A8" w:rsidRPr="00BA35A8" w:rsidRDefault="00BA35A8" w:rsidP="00BA35A8">
      <w:pPr>
        <w:pStyle w:val="NormalWeb"/>
        <w:spacing w:before="240" w:beforeAutospacing="0" w:after="240" w:afterAutospacing="0"/>
        <w:rPr>
          <w:rFonts w:asciiTheme="majorHAnsi" w:hAnsiTheme="majorHAnsi" w:cstheme="majorHAnsi"/>
          <w:color w:val="000000"/>
        </w:rPr>
      </w:pPr>
      <w:r w:rsidRPr="00BA35A8">
        <w:rPr>
          <w:rFonts w:asciiTheme="majorHAnsi" w:hAnsiTheme="majorHAnsi" w:cstheme="majorHAnsi"/>
          <w:color w:val="000000"/>
        </w:rPr>
        <w:t>RSE is delivered through PSHE, science, and cross-curricular opportunities, alongside targeted interventions where appropriate.</w:t>
      </w:r>
    </w:p>
    <w:p w14:paraId="25F6E336" w14:textId="2D313558" w:rsidR="00BA35A8" w:rsidRPr="00BA35A8" w:rsidRDefault="00BA35A8" w:rsidP="00BA35A8">
      <w:pPr>
        <w:pStyle w:val="Heading2"/>
        <w:rPr>
          <w:rFonts w:asciiTheme="majorHAnsi" w:hAnsiTheme="majorHAnsi" w:cstheme="majorHAnsi"/>
          <w:color w:val="000000"/>
          <w:sz w:val="24"/>
          <w:szCs w:val="24"/>
        </w:rPr>
      </w:pPr>
      <w:r w:rsidRPr="00BA35A8">
        <w:rPr>
          <w:rFonts w:asciiTheme="majorHAnsi" w:hAnsiTheme="majorHAnsi" w:cstheme="majorHAnsi"/>
          <w:color w:val="000000"/>
          <w:sz w:val="24"/>
          <w:szCs w:val="24"/>
        </w:rPr>
        <w:t>Methodology and Staff Responsibility</w:t>
      </w:r>
    </w:p>
    <w:p w14:paraId="0B776696" w14:textId="77777777" w:rsidR="00BA35A8" w:rsidRPr="00BA35A8" w:rsidRDefault="00BA35A8" w:rsidP="00BA35A8">
      <w:pPr>
        <w:pStyle w:val="NormalWeb"/>
        <w:numPr>
          <w:ilvl w:val="0"/>
          <w:numId w:val="16"/>
        </w:numPr>
        <w:spacing w:before="240" w:beforeAutospacing="0" w:after="0" w:afterAutospacing="0"/>
        <w:textAlignment w:val="baseline"/>
        <w:rPr>
          <w:rFonts w:asciiTheme="majorHAnsi" w:hAnsiTheme="majorHAnsi" w:cstheme="majorHAnsi"/>
          <w:color w:val="000000"/>
        </w:rPr>
      </w:pPr>
      <w:r w:rsidRPr="00BA35A8">
        <w:rPr>
          <w:rFonts w:asciiTheme="majorHAnsi" w:hAnsiTheme="majorHAnsi" w:cstheme="majorHAnsi"/>
          <w:color w:val="000000"/>
        </w:rPr>
        <w:t>Teaching is adapted to the developmental stage, communication needs and individual EHCP outcomes of each student.</w:t>
      </w:r>
    </w:p>
    <w:p w14:paraId="7EA74568" w14:textId="77777777" w:rsidR="00BA35A8" w:rsidRPr="00BA35A8" w:rsidRDefault="00BA35A8" w:rsidP="00BA35A8">
      <w:pPr>
        <w:pStyle w:val="NormalWeb"/>
        <w:numPr>
          <w:ilvl w:val="0"/>
          <w:numId w:val="16"/>
        </w:numPr>
        <w:spacing w:before="0" w:beforeAutospacing="0" w:after="0" w:afterAutospacing="0"/>
        <w:textAlignment w:val="baseline"/>
        <w:rPr>
          <w:rFonts w:asciiTheme="majorHAnsi" w:hAnsiTheme="majorHAnsi" w:cstheme="majorHAnsi"/>
          <w:color w:val="000000"/>
        </w:rPr>
      </w:pPr>
      <w:r w:rsidRPr="00BA35A8">
        <w:rPr>
          <w:rFonts w:asciiTheme="majorHAnsi" w:hAnsiTheme="majorHAnsi" w:cstheme="majorHAnsi"/>
          <w:color w:val="000000"/>
        </w:rPr>
        <w:t>Strategies include discussion, role play, use of visual resources, digital tools, and community-based learning.</w:t>
      </w:r>
    </w:p>
    <w:p w14:paraId="721E9A78" w14:textId="77777777" w:rsidR="00BA35A8" w:rsidRPr="00BA35A8" w:rsidRDefault="00BA35A8" w:rsidP="00BA35A8">
      <w:pPr>
        <w:pStyle w:val="NormalWeb"/>
        <w:numPr>
          <w:ilvl w:val="0"/>
          <w:numId w:val="16"/>
        </w:numPr>
        <w:spacing w:before="0" w:beforeAutospacing="0" w:after="0" w:afterAutospacing="0"/>
        <w:textAlignment w:val="baseline"/>
        <w:rPr>
          <w:rFonts w:asciiTheme="majorHAnsi" w:hAnsiTheme="majorHAnsi" w:cstheme="majorHAnsi"/>
          <w:color w:val="000000"/>
        </w:rPr>
      </w:pPr>
      <w:r w:rsidRPr="00BA35A8">
        <w:rPr>
          <w:rFonts w:asciiTheme="majorHAnsi" w:hAnsiTheme="majorHAnsi" w:cstheme="majorHAnsi"/>
          <w:color w:val="000000"/>
        </w:rPr>
        <w:t xml:space="preserve">All staff are responsible for creating a safe, </w:t>
      </w:r>
      <w:proofErr w:type="gramStart"/>
      <w:r w:rsidRPr="00BA35A8">
        <w:rPr>
          <w:rFonts w:asciiTheme="majorHAnsi" w:hAnsiTheme="majorHAnsi" w:cstheme="majorHAnsi"/>
          <w:color w:val="000000"/>
        </w:rPr>
        <w:t>respectful</w:t>
      </w:r>
      <w:proofErr w:type="gramEnd"/>
      <w:r w:rsidRPr="00BA35A8">
        <w:rPr>
          <w:rFonts w:asciiTheme="majorHAnsi" w:hAnsiTheme="majorHAnsi" w:cstheme="majorHAnsi"/>
          <w:color w:val="000000"/>
        </w:rPr>
        <w:t xml:space="preserve"> and inclusive environment, modelling positive relationships and addressing issues as they arise.</w:t>
      </w:r>
    </w:p>
    <w:p w14:paraId="1B18D8D2" w14:textId="77777777" w:rsidR="00BA35A8" w:rsidRPr="00BA35A8" w:rsidRDefault="00BA35A8" w:rsidP="00BA35A8">
      <w:pPr>
        <w:pStyle w:val="NormalWeb"/>
        <w:numPr>
          <w:ilvl w:val="0"/>
          <w:numId w:val="16"/>
        </w:numPr>
        <w:spacing w:before="0" w:beforeAutospacing="0" w:after="0" w:afterAutospacing="0"/>
        <w:textAlignment w:val="baseline"/>
        <w:rPr>
          <w:rFonts w:asciiTheme="majorHAnsi" w:hAnsiTheme="majorHAnsi" w:cstheme="majorHAnsi"/>
          <w:color w:val="000000"/>
        </w:rPr>
      </w:pPr>
      <w:r w:rsidRPr="00BA35A8">
        <w:rPr>
          <w:rFonts w:asciiTheme="majorHAnsi" w:hAnsiTheme="majorHAnsi" w:cstheme="majorHAnsi"/>
          <w:color w:val="000000"/>
        </w:rPr>
        <w:t>Specialist staff (e.g., Speech and Language Therapists, pastoral staff) contribute to delivery and support individualised approaches.</w:t>
      </w:r>
    </w:p>
    <w:p w14:paraId="1F3132B5" w14:textId="56C65DFB" w:rsidR="00BA35A8" w:rsidRPr="00BA35A8" w:rsidRDefault="00BA35A8" w:rsidP="00BA35A8">
      <w:pPr>
        <w:pStyle w:val="NormalWeb"/>
        <w:numPr>
          <w:ilvl w:val="0"/>
          <w:numId w:val="16"/>
        </w:numPr>
        <w:spacing w:before="0" w:beforeAutospacing="0" w:after="240" w:afterAutospacing="0"/>
        <w:textAlignment w:val="baseline"/>
        <w:rPr>
          <w:rFonts w:asciiTheme="majorHAnsi" w:hAnsiTheme="majorHAnsi" w:cstheme="majorHAnsi"/>
          <w:color w:val="000000"/>
        </w:rPr>
      </w:pPr>
      <w:r w:rsidRPr="00BA35A8">
        <w:rPr>
          <w:rFonts w:asciiTheme="majorHAnsi" w:hAnsiTheme="majorHAnsi" w:cstheme="majorHAnsi"/>
          <w:color w:val="000000"/>
        </w:rPr>
        <w:t> Where appropriate, external providers may support delivery, ensuring alignment with school values and safeguarding policies.</w:t>
      </w:r>
    </w:p>
    <w:p w14:paraId="4A3C4721" w14:textId="64940FDB" w:rsidR="00BA35A8" w:rsidRPr="00BA35A8" w:rsidRDefault="00BA35A8" w:rsidP="00BA35A8">
      <w:pPr>
        <w:pStyle w:val="Heading2"/>
        <w:rPr>
          <w:rFonts w:asciiTheme="majorHAnsi" w:hAnsiTheme="majorHAnsi" w:cstheme="majorHAnsi"/>
          <w:color w:val="000000"/>
          <w:sz w:val="24"/>
          <w:szCs w:val="24"/>
        </w:rPr>
      </w:pPr>
      <w:r w:rsidRPr="00BA35A8">
        <w:rPr>
          <w:rFonts w:asciiTheme="majorHAnsi" w:hAnsiTheme="majorHAnsi" w:cstheme="majorHAnsi"/>
          <w:color w:val="000000"/>
          <w:sz w:val="24"/>
          <w:szCs w:val="24"/>
        </w:rPr>
        <w:t>Parental Engagement and Right to Withdraw</w:t>
      </w:r>
    </w:p>
    <w:p w14:paraId="0581946F" w14:textId="77777777" w:rsidR="00BA35A8" w:rsidRPr="00BA35A8" w:rsidRDefault="00BA35A8" w:rsidP="00BA35A8">
      <w:pPr>
        <w:pStyle w:val="NormalWeb"/>
        <w:spacing w:before="240" w:beforeAutospacing="0" w:after="240" w:afterAutospacing="0"/>
        <w:rPr>
          <w:rFonts w:asciiTheme="majorHAnsi" w:hAnsiTheme="majorHAnsi" w:cstheme="majorHAnsi"/>
          <w:color w:val="000000"/>
        </w:rPr>
      </w:pPr>
      <w:r w:rsidRPr="00BA35A8">
        <w:rPr>
          <w:rFonts w:asciiTheme="majorHAnsi" w:hAnsiTheme="majorHAnsi" w:cstheme="majorHAnsi"/>
          <w:color w:val="000000"/>
        </w:rPr>
        <w:t xml:space="preserve">We recognise that parents and carers are the primary educators of their children in matters of relationships, </w:t>
      </w:r>
      <w:proofErr w:type="gramStart"/>
      <w:r w:rsidRPr="00BA35A8">
        <w:rPr>
          <w:rFonts w:asciiTheme="majorHAnsi" w:hAnsiTheme="majorHAnsi" w:cstheme="majorHAnsi"/>
          <w:color w:val="000000"/>
        </w:rPr>
        <w:t>health</w:t>
      </w:r>
      <w:proofErr w:type="gramEnd"/>
      <w:r w:rsidRPr="00BA35A8">
        <w:rPr>
          <w:rFonts w:asciiTheme="majorHAnsi" w:hAnsiTheme="majorHAnsi" w:cstheme="majorHAnsi"/>
          <w:color w:val="000000"/>
        </w:rPr>
        <w:t xml:space="preserve"> and values. We work in partnership with families by:</w:t>
      </w:r>
    </w:p>
    <w:p w14:paraId="572818D3" w14:textId="77777777" w:rsidR="00BA35A8" w:rsidRPr="00BA35A8" w:rsidRDefault="00BA35A8" w:rsidP="00BA35A8">
      <w:pPr>
        <w:pStyle w:val="NormalWeb"/>
        <w:numPr>
          <w:ilvl w:val="0"/>
          <w:numId w:val="17"/>
        </w:numPr>
        <w:spacing w:before="240" w:beforeAutospacing="0" w:after="0" w:afterAutospacing="0"/>
        <w:textAlignment w:val="baseline"/>
        <w:rPr>
          <w:rFonts w:asciiTheme="majorHAnsi" w:hAnsiTheme="majorHAnsi" w:cstheme="majorHAnsi"/>
          <w:color w:val="000000"/>
        </w:rPr>
      </w:pPr>
      <w:r w:rsidRPr="00BA35A8">
        <w:rPr>
          <w:rFonts w:asciiTheme="majorHAnsi" w:hAnsiTheme="majorHAnsi" w:cstheme="majorHAnsi"/>
          <w:color w:val="000000"/>
        </w:rPr>
        <w:t>Consulting parents and carers on the development of RSE provision.</w:t>
      </w:r>
    </w:p>
    <w:p w14:paraId="384D40D4" w14:textId="77777777" w:rsidR="00BA35A8" w:rsidRPr="00BA35A8" w:rsidRDefault="00BA35A8" w:rsidP="00BA35A8">
      <w:pPr>
        <w:pStyle w:val="NormalWeb"/>
        <w:numPr>
          <w:ilvl w:val="0"/>
          <w:numId w:val="17"/>
        </w:numPr>
        <w:spacing w:before="0" w:beforeAutospacing="0" w:after="0" w:afterAutospacing="0"/>
        <w:textAlignment w:val="baseline"/>
        <w:rPr>
          <w:rFonts w:asciiTheme="majorHAnsi" w:hAnsiTheme="majorHAnsi" w:cstheme="majorHAnsi"/>
          <w:color w:val="000000"/>
        </w:rPr>
      </w:pPr>
      <w:r w:rsidRPr="00BA35A8">
        <w:rPr>
          <w:rFonts w:asciiTheme="majorHAnsi" w:hAnsiTheme="majorHAnsi" w:cstheme="majorHAnsi"/>
          <w:color w:val="000000"/>
        </w:rPr>
        <w:t>Providing information on what will be taught, when, and how.</w:t>
      </w:r>
    </w:p>
    <w:p w14:paraId="06BCC742" w14:textId="77777777" w:rsidR="00BA35A8" w:rsidRPr="00BA35A8" w:rsidRDefault="00BA35A8" w:rsidP="00BA35A8">
      <w:pPr>
        <w:pStyle w:val="NormalWeb"/>
        <w:numPr>
          <w:ilvl w:val="0"/>
          <w:numId w:val="17"/>
        </w:numPr>
        <w:spacing w:before="0" w:beforeAutospacing="0" w:after="240" w:afterAutospacing="0"/>
        <w:textAlignment w:val="baseline"/>
        <w:rPr>
          <w:rFonts w:asciiTheme="majorHAnsi" w:hAnsiTheme="majorHAnsi" w:cstheme="majorHAnsi"/>
          <w:color w:val="000000"/>
        </w:rPr>
      </w:pPr>
      <w:r w:rsidRPr="00BA35A8">
        <w:rPr>
          <w:rFonts w:asciiTheme="majorHAnsi" w:hAnsiTheme="majorHAnsi" w:cstheme="majorHAnsi"/>
          <w:color w:val="000000"/>
        </w:rPr>
        <w:t>Offering opportunities for parents to review resources and raise questions.</w:t>
      </w:r>
    </w:p>
    <w:p w14:paraId="1334D1F9" w14:textId="77777777" w:rsidR="00BA35A8" w:rsidRPr="00BA35A8" w:rsidRDefault="00BA35A8" w:rsidP="00BA35A8">
      <w:pPr>
        <w:pStyle w:val="NormalWeb"/>
        <w:spacing w:before="240" w:beforeAutospacing="0" w:after="240" w:afterAutospacing="0"/>
        <w:rPr>
          <w:rFonts w:asciiTheme="majorHAnsi" w:hAnsiTheme="majorHAnsi" w:cstheme="majorHAnsi"/>
          <w:color w:val="000000"/>
        </w:rPr>
      </w:pPr>
      <w:r w:rsidRPr="00BA35A8">
        <w:rPr>
          <w:rFonts w:asciiTheme="majorHAnsi" w:hAnsiTheme="majorHAnsi" w:cstheme="majorHAnsi"/>
          <w:color w:val="000000"/>
        </w:rPr>
        <w:t>In accordance with statutory guidance:</w:t>
      </w:r>
    </w:p>
    <w:p w14:paraId="6C67EA43" w14:textId="77777777" w:rsidR="00BA35A8" w:rsidRPr="00BA35A8" w:rsidRDefault="00BA35A8" w:rsidP="00BA35A8">
      <w:pPr>
        <w:pStyle w:val="NormalWeb"/>
        <w:numPr>
          <w:ilvl w:val="0"/>
          <w:numId w:val="18"/>
        </w:numPr>
        <w:spacing w:before="240" w:beforeAutospacing="0" w:after="0" w:afterAutospacing="0"/>
        <w:textAlignment w:val="baseline"/>
        <w:rPr>
          <w:rFonts w:asciiTheme="majorHAnsi" w:hAnsiTheme="majorHAnsi" w:cstheme="majorHAnsi"/>
          <w:color w:val="000000"/>
        </w:rPr>
      </w:pPr>
      <w:r w:rsidRPr="00BA35A8">
        <w:rPr>
          <w:rFonts w:asciiTheme="majorHAnsi" w:hAnsiTheme="majorHAnsi" w:cstheme="majorHAnsi"/>
          <w:color w:val="000000"/>
        </w:rPr>
        <w:t xml:space="preserve"> Parents have the right to request withdrawal of their child from </w:t>
      </w:r>
      <w:r w:rsidRPr="00BA35A8">
        <w:rPr>
          <w:rFonts w:asciiTheme="majorHAnsi" w:hAnsiTheme="majorHAnsi" w:cstheme="majorHAnsi"/>
          <w:b/>
          <w:bCs/>
          <w:color w:val="000000"/>
        </w:rPr>
        <w:t>sex education</w:t>
      </w:r>
      <w:r w:rsidRPr="00BA35A8">
        <w:rPr>
          <w:rFonts w:asciiTheme="majorHAnsi" w:hAnsiTheme="majorHAnsi" w:cstheme="majorHAnsi"/>
          <w:color w:val="000000"/>
        </w:rPr>
        <w:t xml:space="preserve"> (other than content covered in the science curriculum) up to three terms before the student turns 16.</w:t>
      </w:r>
    </w:p>
    <w:p w14:paraId="6992FE01" w14:textId="77777777" w:rsidR="00BA35A8" w:rsidRPr="00BA35A8" w:rsidRDefault="00BA35A8" w:rsidP="00BA35A8">
      <w:pPr>
        <w:pStyle w:val="NormalWeb"/>
        <w:numPr>
          <w:ilvl w:val="0"/>
          <w:numId w:val="18"/>
        </w:numPr>
        <w:spacing w:before="0" w:beforeAutospacing="0" w:after="0" w:afterAutospacing="0"/>
        <w:textAlignment w:val="baseline"/>
        <w:rPr>
          <w:rFonts w:asciiTheme="majorHAnsi" w:hAnsiTheme="majorHAnsi" w:cstheme="majorHAnsi"/>
          <w:color w:val="000000"/>
        </w:rPr>
      </w:pPr>
      <w:r w:rsidRPr="00BA35A8">
        <w:rPr>
          <w:rFonts w:asciiTheme="majorHAnsi" w:hAnsiTheme="majorHAnsi" w:cstheme="majorHAnsi"/>
          <w:color w:val="000000"/>
        </w:rPr>
        <w:t xml:space="preserve">There is </w:t>
      </w:r>
      <w:r w:rsidRPr="00BA35A8">
        <w:rPr>
          <w:rFonts w:asciiTheme="majorHAnsi" w:hAnsiTheme="majorHAnsi" w:cstheme="majorHAnsi"/>
          <w:b/>
          <w:bCs/>
          <w:color w:val="000000"/>
        </w:rPr>
        <w:t>no right to withdraw</w:t>
      </w:r>
      <w:r w:rsidRPr="00BA35A8">
        <w:rPr>
          <w:rFonts w:asciiTheme="majorHAnsi" w:hAnsiTheme="majorHAnsi" w:cstheme="majorHAnsi"/>
          <w:color w:val="000000"/>
        </w:rPr>
        <w:t xml:space="preserve"> from Relationships Education, Health Education, or statutory science.</w:t>
      </w:r>
    </w:p>
    <w:p w14:paraId="4BE7A618" w14:textId="157F357C" w:rsidR="00BA35A8" w:rsidRPr="00BA35A8" w:rsidRDefault="00BA35A8" w:rsidP="00BA35A8">
      <w:pPr>
        <w:pStyle w:val="NormalWeb"/>
        <w:numPr>
          <w:ilvl w:val="0"/>
          <w:numId w:val="18"/>
        </w:numPr>
        <w:spacing w:before="0" w:beforeAutospacing="0" w:after="240" w:afterAutospacing="0"/>
        <w:textAlignment w:val="baseline"/>
        <w:rPr>
          <w:rFonts w:asciiTheme="majorHAnsi" w:hAnsiTheme="majorHAnsi" w:cstheme="majorHAnsi"/>
          <w:color w:val="000000"/>
        </w:rPr>
      </w:pPr>
      <w:r w:rsidRPr="00BA35A8">
        <w:rPr>
          <w:rFonts w:asciiTheme="majorHAnsi" w:hAnsiTheme="majorHAnsi" w:cstheme="majorHAnsi"/>
          <w:color w:val="000000"/>
        </w:rPr>
        <w:t> Any withdrawal request will be considered on an individual basis, and parents will be invited to discuss their wishes with a member of the Senior Leadership Team.</w:t>
      </w:r>
    </w:p>
    <w:p w14:paraId="10DBB4DF" w14:textId="3D72FDAE" w:rsidR="00BA35A8" w:rsidRPr="00BA35A8" w:rsidRDefault="00BA35A8" w:rsidP="00BA35A8">
      <w:pPr>
        <w:pStyle w:val="Heading2"/>
        <w:rPr>
          <w:rFonts w:asciiTheme="majorHAnsi" w:hAnsiTheme="majorHAnsi" w:cstheme="majorHAnsi"/>
          <w:color w:val="000000"/>
          <w:sz w:val="24"/>
          <w:szCs w:val="24"/>
        </w:rPr>
      </w:pPr>
      <w:r w:rsidRPr="00BA35A8">
        <w:rPr>
          <w:rFonts w:asciiTheme="majorHAnsi" w:hAnsiTheme="majorHAnsi" w:cstheme="majorHAnsi"/>
          <w:color w:val="000000"/>
          <w:sz w:val="24"/>
          <w:szCs w:val="24"/>
        </w:rPr>
        <w:lastRenderedPageBreak/>
        <w:t>Safeguarding in the Curriculum</w:t>
      </w:r>
    </w:p>
    <w:p w14:paraId="57B693CB" w14:textId="77777777" w:rsidR="00BA35A8" w:rsidRPr="00BA35A8" w:rsidRDefault="00BA35A8" w:rsidP="00BA35A8">
      <w:pPr>
        <w:pStyle w:val="NormalWeb"/>
        <w:spacing w:before="240" w:beforeAutospacing="0" w:after="240" w:afterAutospacing="0"/>
        <w:rPr>
          <w:rFonts w:asciiTheme="majorHAnsi" w:hAnsiTheme="majorHAnsi" w:cstheme="majorHAnsi"/>
          <w:color w:val="000000"/>
        </w:rPr>
      </w:pPr>
      <w:r w:rsidRPr="00BA35A8">
        <w:rPr>
          <w:rFonts w:asciiTheme="majorHAnsi" w:hAnsiTheme="majorHAnsi" w:cstheme="majorHAnsi"/>
          <w:color w:val="000000"/>
        </w:rPr>
        <w:t>Safeguarding is at the heart of Iffley Academy’s curriculum. RSE plays a vital role in equipping students with the knowledge and confidence to keep themselves safe. This includes:</w:t>
      </w:r>
    </w:p>
    <w:p w14:paraId="1250C936" w14:textId="77777777" w:rsidR="00BA35A8" w:rsidRPr="00BA35A8" w:rsidRDefault="00BA35A8" w:rsidP="00BA35A8">
      <w:pPr>
        <w:pStyle w:val="NormalWeb"/>
        <w:numPr>
          <w:ilvl w:val="0"/>
          <w:numId w:val="19"/>
        </w:numPr>
        <w:spacing w:before="240" w:beforeAutospacing="0" w:after="0" w:afterAutospacing="0"/>
        <w:textAlignment w:val="baseline"/>
        <w:rPr>
          <w:rFonts w:asciiTheme="majorHAnsi" w:hAnsiTheme="majorHAnsi" w:cstheme="majorHAnsi"/>
          <w:color w:val="000000"/>
        </w:rPr>
      </w:pPr>
      <w:r w:rsidRPr="00BA35A8">
        <w:rPr>
          <w:rFonts w:asciiTheme="majorHAnsi" w:hAnsiTheme="majorHAnsi" w:cstheme="majorHAnsi"/>
          <w:color w:val="000000"/>
        </w:rPr>
        <w:t>Teaching students how to recognise safe and unsafe situations, both online and offline.</w:t>
      </w:r>
    </w:p>
    <w:p w14:paraId="4043D6C3" w14:textId="77777777" w:rsidR="00BA35A8" w:rsidRPr="00BA35A8" w:rsidRDefault="00BA35A8" w:rsidP="00BA35A8">
      <w:pPr>
        <w:pStyle w:val="NormalWeb"/>
        <w:numPr>
          <w:ilvl w:val="0"/>
          <w:numId w:val="19"/>
        </w:numPr>
        <w:spacing w:before="0" w:beforeAutospacing="0" w:after="0" w:afterAutospacing="0"/>
        <w:textAlignment w:val="baseline"/>
        <w:rPr>
          <w:rFonts w:asciiTheme="majorHAnsi" w:hAnsiTheme="majorHAnsi" w:cstheme="majorHAnsi"/>
          <w:color w:val="000000"/>
        </w:rPr>
      </w:pPr>
      <w:r w:rsidRPr="00BA35A8">
        <w:rPr>
          <w:rFonts w:asciiTheme="majorHAnsi" w:hAnsiTheme="majorHAnsi" w:cstheme="majorHAnsi"/>
          <w:color w:val="000000"/>
        </w:rPr>
        <w:t>Developing the skills to set personal boundaries and understand consent.</w:t>
      </w:r>
    </w:p>
    <w:p w14:paraId="0592CEE2" w14:textId="77777777" w:rsidR="00BA35A8" w:rsidRPr="00BA35A8" w:rsidRDefault="00BA35A8" w:rsidP="00BA35A8">
      <w:pPr>
        <w:pStyle w:val="NormalWeb"/>
        <w:numPr>
          <w:ilvl w:val="0"/>
          <w:numId w:val="19"/>
        </w:numPr>
        <w:spacing w:before="0" w:beforeAutospacing="0" w:after="0" w:afterAutospacing="0"/>
        <w:textAlignment w:val="baseline"/>
        <w:rPr>
          <w:rFonts w:asciiTheme="majorHAnsi" w:hAnsiTheme="majorHAnsi" w:cstheme="majorHAnsi"/>
          <w:color w:val="000000"/>
        </w:rPr>
      </w:pPr>
      <w:r w:rsidRPr="00BA35A8">
        <w:rPr>
          <w:rFonts w:asciiTheme="majorHAnsi" w:hAnsiTheme="majorHAnsi" w:cstheme="majorHAnsi"/>
          <w:color w:val="000000"/>
        </w:rPr>
        <w:t>Promoting awareness of healthy and unhealthy relationships, including how to seek help.</w:t>
      </w:r>
    </w:p>
    <w:p w14:paraId="6C1777FC" w14:textId="77777777" w:rsidR="00BA35A8" w:rsidRPr="00BA35A8" w:rsidRDefault="00BA35A8" w:rsidP="00BA35A8">
      <w:pPr>
        <w:pStyle w:val="NormalWeb"/>
        <w:numPr>
          <w:ilvl w:val="0"/>
          <w:numId w:val="19"/>
        </w:numPr>
        <w:spacing w:before="0" w:beforeAutospacing="0" w:after="0" w:afterAutospacing="0"/>
        <w:textAlignment w:val="baseline"/>
        <w:rPr>
          <w:rFonts w:asciiTheme="majorHAnsi" w:hAnsiTheme="majorHAnsi" w:cstheme="majorHAnsi"/>
          <w:color w:val="000000"/>
        </w:rPr>
      </w:pPr>
      <w:r w:rsidRPr="00BA35A8">
        <w:rPr>
          <w:rFonts w:asciiTheme="majorHAnsi" w:hAnsiTheme="majorHAnsi" w:cstheme="majorHAnsi"/>
          <w:color w:val="000000"/>
        </w:rPr>
        <w:t>Embedding strategies for communication so students can express concerns or disclose worries.</w:t>
      </w:r>
    </w:p>
    <w:p w14:paraId="7D55BA34" w14:textId="1F53028D" w:rsidR="00BA35A8" w:rsidRPr="00BA35A8" w:rsidRDefault="00BA35A8" w:rsidP="00BA35A8">
      <w:pPr>
        <w:pStyle w:val="NormalWeb"/>
        <w:numPr>
          <w:ilvl w:val="0"/>
          <w:numId w:val="19"/>
        </w:numPr>
        <w:spacing w:before="0" w:beforeAutospacing="0" w:after="240" w:afterAutospacing="0"/>
        <w:textAlignment w:val="baseline"/>
        <w:rPr>
          <w:rFonts w:asciiTheme="majorHAnsi" w:hAnsiTheme="majorHAnsi" w:cstheme="majorHAnsi"/>
          <w:color w:val="000000"/>
        </w:rPr>
      </w:pPr>
      <w:r w:rsidRPr="00BA35A8">
        <w:rPr>
          <w:rFonts w:asciiTheme="majorHAnsi" w:hAnsiTheme="majorHAnsi" w:cstheme="majorHAnsi"/>
          <w:color w:val="000000"/>
        </w:rPr>
        <w:t>Reinforcing awareness of trusted adults in school and in the wider community who can provide support.</w:t>
      </w:r>
    </w:p>
    <w:p w14:paraId="5CD55DC4" w14:textId="03FC822D" w:rsidR="00BA35A8" w:rsidRPr="00BA35A8" w:rsidRDefault="00BA35A8" w:rsidP="00BA35A8">
      <w:pPr>
        <w:pStyle w:val="Heading2"/>
        <w:rPr>
          <w:rFonts w:asciiTheme="majorHAnsi" w:hAnsiTheme="majorHAnsi" w:cstheme="majorHAnsi"/>
          <w:color w:val="000000"/>
          <w:sz w:val="24"/>
          <w:szCs w:val="24"/>
        </w:rPr>
      </w:pPr>
      <w:r w:rsidRPr="00BA35A8">
        <w:rPr>
          <w:rFonts w:asciiTheme="majorHAnsi" w:hAnsiTheme="majorHAnsi" w:cstheme="majorHAnsi"/>
          <w:color w:val="000000"/>
          <w:sz w:val="24"/>
          <w:szCs w:val="24"/>
        </w:rPr>
        <w:t>Monitoring and Review</w:t>
      </w:r>
    </w:p>
    <w:p w14:paraId="0C7715BD" w14:textId="2144FC80" w:rsidR="00BA35A8" w:rsidRPr="00BA35A8" w:rsidRDefault="00BA35A8" w:rsidP="00BA35A8">
      <w:pPr>
        <w:pStyle w:val="NormalWeb"/>
        <w:spacing w:before="240" w:beforeAutospacing="0" w:after="240" w:afterAutospacing="0"/>
        <w:rPr>
          <w:rFonts w:asciiTheme="majorHAnsi" w:hAnsiTheme="majorHAnsi" w:cstheme="majorHAnsi"/>
          <w:color w:val="000000"/>
        </w:rPr>
      </w:pPr>
      <w:r w:rsidRPr="00BA35A8">
        <w:rPr>
          <w:rFonts w:asciiTheme="majorHAnsi" w:hAnsiTheme="majorHAnsi" w:cstheme="majorHAnsi"/>
          <w:color w:val="000000"/>
        </w:rPr>
        <w:t xml:space="preserve">This policy will be reviewed biennially to ensure compliance with statutory guidance and alignment with Iffley Academy’s ethos, purpose, aims and values. Student voice, staff feedback, parental consultation, and governor oversight will inform </w:t>
      </w:r>
      <w:proofErr w:type="gramStart"/>
      <w:r w:rsidRPr="00BA35A8">
        <w:rPr>
          <w:rFonts w:asciiTheme="majorHAnsi" w:hAnsiTheme="majorHAnsi" w:cstheme="majorHAnsi"/>
          <w:color w:val="000000"/>
        </w:rPr>
        <w:t>review</w:t>
      </w:r>
      <w:proofErr w:type="gramEnd"/>
    </w:p>
    <w:p w14:paraId="19D95B88" w14:textId="77777777" w:rsidR="00BA35A8" w:rsidRPr="00BA35A8" w:rsidRDefault="00BA35A8" w:rsidP="00BA35A8">
      <w:pPr>
        <w:pStyle w:val="NormalWeb"/>
        <w:spacing w:before="240" w:beforeAutospacing="0" w:after="240" w:afterAutospacing="0"/>
        <w:rPr>
          <w:rFonts w:asciiTheme="majorHAnsi" w:hAnsiTheme="majorHAnsi" w:cstheme="majorHAnsi"/>
          <w:color w:val="000000"/>
        </w:rPr>
      </w:pPr>
    </w:p>
    <w:p w14:paraId="4F899EE5" w14:textId="47201CAA" w:rsidR="00BA35A8" w:rsidRPr="00BA35A8" w:rsidRDefault="00BA35A8" w:rsidP="00BA35A8">
      <w:pPr>
        <w:pStyle w:val="NormalWeb"/>
        <w:spacing w:before="240" w:beforeAutospacing="0" w:after="240" w:afterAutospacing="0"/>
        <w:rPr>
          <w:rFonts w:asciiTheme="majorHAnsi" w:hAnsiTheme="majorHAnsi" w:cstheme="majorHAnsi"/>
          <w:b/>
          <w:bCs/>
          <w:color w:val="000000"/>
        </w:rPr>
      </w:pPr>
      <w:r w:rsidRPr="00BA35A8">
        <w:rPr>
          <w:rFonts w:asciiTheme="majorHAnsi" w:hAnsiTheme="majorHAnsi" w:cstheme="majorHAnsi"/>
          <w:b/>
          <w:bCs/>
          <w:color w:val="000000"/>
        </w:rPr>
        <w:t>Links</w:t>
      </w:r>
    </w:p>
    <w:p w14:paraId="6DA1951D" w14:textId="77777777" w:rsidR="00BA35A8" w:rsidRPr="00BA35A8" w:rsidRDefault="00BA35A8" w:rsidP="00BA35A8">
      <w:pPr>
        <w:pStyle w:val="NormalWeb"/>
        <w:numPr>
          <w:ilvl w:val="0"/>
          <w:numId w:val="20"/>
        </w:numPr>
        <w:spacing w:before="240" w:beforeAutospacing="0" w:after="0" w:afterAutospacing="0"/>
        <w:textAlignment w:val="baseline"/>
        <w:rPr>
          <w:rFonts w:asciiTheme="majorHAnsi" w:hAnsiTheme="majorHAnsi" w:cstheme="majorHAnsi"/>
          <w:color w:val="000000"/>
        </w:rPr>
      </w:pPr>
      <w:r w:rsidRPr="00BA35A8">
        <w:rPr>
          <w:rFonts w:asciiTheme="majorHAnsi" w:hAnsiTheme="majorHAnsi" w:cstheme="majorHAnsi"/>
          <w:color w:val="000000"/>
        </w:rPr>
        <w:t>Relationships, Education, Relationships and Sex Education (RSE) and Health Education – DfE statutory guidance 2025</w:t>
      </w:r>
    </w:p>
    <w:p w14:paraId="6AE25A91" w14:textId="77777777" w:rsidR="00BA35A8" w:rsidRDefault="00BA35A8" w:rsidP="00BA35A8">
      <w:pPr>
        <w:pStyle w:val="NormalWeb"/>
        <w:numPr>
          <w:ilvl w:val="0"/>
          <w:numId w:val="20"/>
        </w:numPr>
        <w:spacing w:before="0" w:beforeAutospacing="0" w:after="0" w:afterAutospacing="0"/>
        <w:textAlignment w:val="baseline"/>
        <w:rPr>
          <w:rFonts w:asciiTheme="majorHAnsi" w:hAnsiTheme="majorHAnsi" w:cstheme="majorHAnsi"/>
          <w:color w:val="000000"/>
        </w:rPr>
      </w:pPr>
      <w:r w:rsidRPr="00BA35A8">
        <w:rPr>
          <w:rFonts w:asciiTheme="majorHAnsi" w:hAnsiTheme="majorHAnsi" w:cstheme="majorHAnsi"/>
          <w:color w:val="000000"/>
        </w:rPr>
        <w:t>Keeping Children Safe in Education (</w:t>
      </w:r>
      <w:proofErr w:type="spellStart"/>
      <w:r w:rsidRPr="00BA35A8">
        <w:rPr>
          <w:rFonts w:asciiTheme="majorHAnsi" w:hAnsiTheme="majorHAnsi" w:cstheme="majorHAnsi"/>
          <w:color w:val="000000"/>
        </w:rPr>
        <w:t>KCSiE</w:t>
      </w:r>
      <w:proofErr w:type="spellEnd"/>
      <w:r w:rsidRPr="00BA35A8">
        <w:rPr>
          <w:rFonts w:asciiTheme="majorHAnsi" w:hAnsiTheme="majorHAnsi" w:cstheme="majorHAnsi"/>
          <w:color w:val="000000"/>
        </w:rPr>
        <w:t>), 2025</w:t>
      </w:r>
    </w:p>
    <w:p w14:paraId="0E8DFC55" w14:textId="4FE4D751" w:rsidR="00BA35A8" w:rsidRPr="00BA35A8" w:rsidRDefault="00BA35A8" w:rsidP="00BA35A8">
      <w:pPr>
        <w:pStyle w:val="NormalWeb"/>
        <w:numPr>
          <w:ilvl w:val="0"/>
          <w:numId w:val="20"/>
        </w:numPr>
        <w:spacing w:before="0" w:beforeAutospacing="0" w:after="0" w:afterAutospacing="0"/>
        <w:textAlignment w:val="baseline"/>
        <w:rPr>
          <w:rFonts w:asciiTheme="majorHAnsi" w:hAnsiTheme="majorHAnsi" w:cstheme="majorHAnsi"/>
          <w:color w:val="000000"/>
        </w:rPr>
      </w:pPr>
      <w:r>
        <w:rPr>
          <w:rFonts w:asciiTheme="majorHAnsi" w:hAnsiTheme="majorHAnsi" w:cstheme="majorHAnsi"/>
          <w:color w:val="000000"/>
        </w:rPr>
        <w:t>Equality Act, 2010</w:t>
      </w:r>
    </w:p>
    <w:p w14:paraId="62438A7A" w14:textId="7B6B9802" w:rsidR="00BA35A8" w:rsidRPr="00BA35A8" w:rsidRDefault="00BA35A8" w:rsidP="00BA35A8">
      <w:pPr>
        <w:pStyle w:val="NormalWeb"/>
        <w:numPr>
          <w:ilvl w:val="0"/>
          <w:numId w:val="20"/>
        </w:numPr>
        <w:spacing w:before="0" w:beforeAutospacing="0" w:after="240" w:afterAutospacing="0"/>
        <w:textAlignment w:val="baseline"/>
        <w:rPr>
          <w:rFonts w:asciiTheme="majorHAnsi" w:eastAsia="Arial" w:hAnsiTheme="majorHAnsi" w:cstheme="majorHAnsi"/>
        </w:rPr>
      </w:pPr>
      <w:r w:rsidRPr="00BA35A8">
        <w:rPr>
          <w:rFonts w:asciiTheme="majorHAnsi" w:hAnsiTheme="majorHAnsi" w:cstheme="majorHAnsi"/>
          <w:color w:val="000000"/>
        </w:rPr>
        <w:t xml:space="preserve">Special Educational Needs and Disability (SEND) Code of Practice: 0 to 25 years, </w:t>
      </w:r>
      <w:proofErr w:type="gramStart"/>
      <w:r>
        <w:rPr>
          <w:rFonts w:asciiTheme="majorHAnsi" w:hAnsiTheme="majorHAnsi" w:cstheme="majorHAnsi"/>
          <w:color w:val="000000"/>
        </w:rPr>
        <w:t>2024</w:t>
      </w:r>
      <w:proofErr w:type="gramEnd"/>
    </w:p>
    <w:sectPr w:rsidR="00BA35A8" w:rsidRPr="00BA35A8">
      <w:type w:val="continuous"/>
      <w:pgSz w:w="11900" w:h="16840"/>
      <w:pgMar w:top="2098" w:right="1314" w:bottom="1440" w:left="1797" w:header="709" w:footer="4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25EFE" w14:textId="77777777" w:rsidR="00435BAB" w:rsidRDefault="00435BAB">
      <w:r>
        <w:separator/>
      </w:r>
    </w:p>
  </w:endnote>
  <w:endnote w:type="continuationSeparator" w:id="0">
    <w:p w14:paraId="32E27679" w14:textId="77777777" w:rsidR="00435BAB" w:rsidRDefault="0043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IN-Medium">
    <w:altName w:val="Cambria"/>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237B2" w14:textId="77777777" w:rsidR="00B771F7" w:rsidRDefault="00B771F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99E1B" w14:textId="77777777" w:rsidR="00B771F7" w:rsidRDefault="00000000">
    <w:pPr>
      <w:pBdr>
        <w:top w:val="nil"/>
        <w:left w:val="nil"/>
        <w:bottom w:val="nil"/>
        <w:right w:val="nil"/>
        <w:between w:val="nil"/>
      </w:pBdr>
      <w:tabs>
        <w:tab w:val="center" w:pos="4320"/>
        <w:tab w:val="right" w:pos="8640"/>
      </w:tabs>
      <w:jc w:val="center"/>
      <w:rPr>
        <w:rFonts w:ascii="Arial" w:eastAsia="Arial" w:hAnsi="Arial" w:cs="Arial"/>
        <w:color w:val="FFFFFF"/>
        <w:sz w:val="20"/>
        <w:szCs w:val="20"/>
      </w:rPr>
    </w:pPr>
    <w:r>
      <w:rPr>
        <w:rFonts w:ascii="Arial" w:eastAsia="Arial" w:hAnsi="Arial" w:cs="Arial"/>
        <w:color w:val="FFFFFF"/>
        <w:sz w:val="20"/>
        <w:szCs w:val="20"/>
      </w:rPr>
      <w:t>The Iffley Academy Trust Company Ltd is a Registered Charity</w:t>
    </w:r>
  </w:p>
  <w:p w14:paraId="5BE34C52" w14:textId="77777777" w:rsidR="00B771F7" w:rsidRDefault="00000000">
    <w:pPr>
      <w:pBdr>
        <w:top w:val="nil"/>
        <w:left w:val="nil"/>
        <w:bottom w:val="nil"/>
        <w:right w:val="nil"/>
        <w:between w:val="nil"/>
      </w:pBdr>
      <w:tabs>
        <w:tab w:val="center" w:pos="4320"/>
        <w:tab w:val="right" w:pos="8640"/>
      </w:tabs>
      <w:jc w:val="center"/>
      <w:rPr>
        <w:rFonts w:ascii="Arial" w:eastAsia="Arial" w:hAnsi="Arial" w:cs="Arial"/>
        <w:color w:val="FFFFFF"/>
        <w:sz w:val="20"/>
        <w:szCs w:val="20"/>
      </w:rPr>
    </w:pPr>
    <w:r>
      <w:rPr>
        <w:rFonts w:ascii="Arial" w:eastAsia="Arial" w:hAnsi="Arial" w:cs="Arial"/>
        <w:color w:val="FFFFFF"/>
        <w:sz w:val="20"/>
        <w:szCs w:val="20"/>
      </w:rPr>
      <w:t>Company Registration No. 8334718</w:t>
    </w:r>
  </w:p>
  <w:p w14:paraId="39F3CFD0" w14:textId="77777777" w:rsidR="00B771F7" w:rsidRDefault="00000000">
    <w:pPr>
      <w:pBdr>
        <w:top w:val="nil"/>
        <w:left w:val="nil"/>
        <w:bottom w:val="nil"/>
        <w:right w:val="nil"/>
        <w:between w:val="nil"/>
      </w:pBdr>
      <w:tabs>
        <w:tab w:val="center" w:pos="4320"/>
        <w:tab w:val="right" w:pos="8640"/>
      </w:tabs>
      <w:jc w:val="center"/>
      <w:rPr>
        <w:color w:val="000000"/>
      </w:rPr>
    </w:pPr>
    <w:r>
      <w:rPr>
        <w:rFonts w:ascii="Arial" w:eastAsia="Arial" w:hAnsi="Arial" w:cs="Arial"/>
        <w:color w:val="FFFFFF"/>
        <w:sz w:val="20"/>
        <w:szCs w:val="20"/>
      </w:rPr>
      <w:t>Registered in England &amp; Wales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33FD7" w14:textId="77777777" w:rsidR="00B771F7" w:rsidRDefault="00000000">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114300" distR="114300" simplePos="0" relativeHeight="251660288" behindDoc="0" locked="0" layoutInCell="1" hidden="0" allowOverlap="1" wp14:anchorId="79D90526" wp14:editId="15A76DBB">
              <wp:simplePos x="0" y="0"/>
              <wp:positionH relativeFrom="column">
                <wp:posOffset>-1142999</wp:posOffset>
              </wp:positionH>
              <wp:positionV relativeFrom="paragraph">
                <wp:posOffset>-317499</wp:posOffset>
              </wp:positionV>
              <wp:extent cx="7572375" cy="371475"/>
              <wp:effectExtent l="0" t="0" r="0" b="0"/>
              <wp:wrapSquare wrapText="bothSides" distT="0" distB="0" distL="114300" distR="114300"/>
              <wp:docPr id="11" name="Rectangle 11"/>
              <wp:cNvGraphicFramePr/>
              <a:graphic xmlns:a="http://schemas.openxmlformats.org/drawingml/2006/main">
                <a:graphicData uri="http://schemas.microsoft.com/office/word/2010/wordprocessingShape">
                  <wps:wsp>
                    <wps:cNvSpPr/>
                    <wps:spPr>
                      <a:xfrm>
                        <a:off x="1574100" y="3608550"/>
                        <a:ext cx="7543800" cy="342900"/>
                      </a:xfrm>
                      <a:prstGeom prst="rect">
                        <a:avLst/>
                      </a:prstGeom>
                      <a:noFill/>
                      <a:ln>
                        <a:noFill/>
                      </a:ln>
                    </wps:spPr>
                    <wps:txbx>
                      <w:txbxContent>
                        <w:p w14:paraId="790FCAF1" w14:textId="77777777" w:rsidR="00B771F7" w:rsidRDefault="00000000">
                          <w:pPr>
                            <w:jc w:val="center"/>
                            <w:textDirection w:val="btLr"/>
                          </w:pPr>
                          <w:r>
                            <w:rPr>
                              <w:rFonts w:ascii="DIN-Medium" w:eastAsia="DIN-Medium" w:hAnsi="DIN-Medium" w:cs="DIN-Medium"/>
                              <w:color w:val="808080"/>
                              <w:sz w:val="16"/>
                            </w:rPr>
                            <w:t>The Gallery Trust is an exempt charity. Company registration No. 08334718 Registered in England and Wales</w:t>
                          </w:r>
                        </w:p>
                      </w:txbxContent>
                    </wps:txbx>
                    <wps:bodyPr spcFirstLastPara="1" wrap="square" lIns="91425" tIns="45700" rIns="91425" bIns="45700" anchor="t" anchorCtr="0">
                      <a:noAutofit/>
                    </wps:bodyPr>
                  </wps:wsp>
                </a:graphicData>
              </a:graphic>
            </wp:anchor>
          </w:drawing>
        </mc:Choice>
        <mc:Fallback>
          <w:pict>
            <v:rect w14:anchorId="79D90526" id="Rectangle 11" o:spid="_x0000_s1026" style="position:absolute;margin-left:-90pt;margin-top:-25pt;width:596.25pt;height:29.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" filled="f" stroked="f">
              <v:textbox inset="2.53958mm,1.2694mm,2.53958mm,1.2694mm">
                <w:txbxContent>
                  <w:p w14:paraId="790FCAF1" w14:textId="77777777" w:rsidR="00B771F7" w:rsidRDefault="00000000">
                    <w:pPr>
                      <w:jc w:val="center"/>
                      <w:textDirection w:val="btLr"/>
                    </w:pPr>
                    <w:r>
                      <w:rPr>
                        <w:rFonts w:ascii="DIN-Medium" w:eastAsia="DIN-Medium" w:hAnsi="DIN-Medium" w:cs="DIN-Medium"/>
                        <w:color w:val="808080"/>
                        <w:sz w:val="16"/>
                      </w:rPr>
                      <w:t>The Gallery Trust is an exempt charity. Company registration No. 08334718 Registered in England and Wales</w:t>
                    </w:r>
                  </w:p>
                </w:txbxContent>
              </v:textbox>
              <w10:wrap type="square"/>
            </v:rect>
          </w:pict>
        </mc:Fallback>
      </mc:AlternateContent>
    </w:r>
    <w:r>
      <w:rPr>
        <w:noProof/>
      </w:rPr>
      <w:drawing>
        <wp:anchor distT="0" distB="0" distL="114300" distR="114300" simplePos="0" relativeHeight="251661312" behindDoc="0" locked="0" layoutInCell="1" hidden="0" allowOverlap="1" wp14:anchorId="53295A33" wp14:editId="74764A5D">
          <wp:simplePos x="0" y="0"/>
          <wp:positionH relativeFrom="column">
            <wp:posOffset>-1209037</wp:posOffset>
          </wp:positionH>
          <wp:positionV relativeFrom="paragraph">
            <wp:posOffset>453390</wp:posOffset>
          </wp:positionV>
          <wp:extent cx="8458200" cy="381000"/>
          <wp:effectExtent l="0" t="0" r="0" b="0"/>
          <wp:wrapSquare wrapText="bothSides" distT="0" distB="0" distL="114300" distR="11430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458200" cy="3810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90F77" w14:textId="77777777" w:rsidR="00435BAB" w:rsidRDefault="00435BAB">
      <w:r>
        <w:separator/>
      </w:r>
    </w:p>
  </w:footnote>
  <w:footnote w:type="continuationSeparator" w:id="0">
    <w:p w14:paraId="5A071D8A" w14:textId="77777777" w:rsidR="00435BAB" w:rsidRDefault="00435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13917" w14:textId="0BF37377" w:rsidR="00B771F7" w:rsidRDefault="00435BAB">
    <w:pPr>
      <w:pBdr>
        <w:top w:val="nil"/>
        <w:left w:val="nil"/>
        <w:bottom w:val="nil"/>
        <w:right w:val="nil"/>
        <w:between w:val="nil"/>
      </w:pBdr>
      <w:tabs>
        <w:tab w:val="center" w:pos="4320"/>
        <w:tab w:val="right" w:pos="8640"/>
      </w:tabs>
      <w:rPr>
        <w:color w:val="000000"/>
      </w:rPr>
    </w:pPr>
    <w:r>
      <w:rPr>
        <w:noProof/>
      </w:rPr>
      <w:pict w14:anchorId="15A145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55.9pt;height:163.65pt;rotation:315;z-index:-251646976;mso-wrap-edited:f;mso-width-percent:0;mso-height-percent:0;mso-position-horizontal:center;mso-position-horizontal-relative:margin;mso-position-vertical:center;mso-position-vertical-relative:margin;mso-width-percent:0;mso-height-percent:0" o:allowincell="f" fillcolor="red" stroked="f">
          <v:fill opacity="48496f"/>
          <v:textpath style="font-family:&quot;Cambria&quot;;font-size:1pt;font-weight:bold"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2BD63" w14:textId="7F47D8BB" w:rsidR="00B771F7" w:rsidRDefault="00435BAB">
    <w:pPr>
      <w:pBdr>
        <w:top w:val="nil"/>
        <w:left w:val="nil"/>
        <w:bottom w:val="nil"/>
        <w:right w:val="nil"/>
        <w:between w:val="nil"/>
      </w:pBdr>
      <w:tabs>
        <w:tab w:val="center" w:pos="4320"/>
        <w:tab w:val="right" w:pos="8640"/>
      </w:tabs>
      <w:rPr>
        <w:color w:val="000000"/>
      </w:rPr>
    </w:pPr>
    <w:r>
      <w:rPr>
        <w:noProof/>
      </w:rPr>
      <w:pict w14:anchorId="025277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55.9pt;height:163.65pt;rotation:315;z-index:-251642880;mso-wrap-edited:f;mso-width-percent:0;mso-height-percent:0;mso-position-horizontal:center;mso-position-horizontal-relative:margin;mso-position-vertical:center;mso-position-vertical-relative:margin;mso-width-percent:0;mso-height-percent:0" o:allowincell="f" fillcolor="red" stroked="f">
          <v:fill opacity="48496f"/>
          <v:textpath style="font-family:&quot;Cambria&quot;;font-size:1pt;font-weight:bold" string="DRAFT"/>
          <w10:wrap anchorx="margin" anchory="margin"/>
        </v:shape>
      </w:pict>
    </w:r>
    <w:r w:rsidR="00603844">
      <w:rPr>
        <w:noProof/>
      </w:rPr>
      <w:drawing>
        <wp:anchor distT="0" distB="0" distL="0" distR="0" simplePos="0" relativeHeight="251658240" behindDoc="0" locked="0" layoutInCell="1" hidden="0" allowOverlap="1" wp14:anchorId="41CB7C01" wp14:editId="36610503">
          <wp:simplePos x="0" y="0"/>
          <wp:positionH relativeFrom="column">
            <wp:posOffset>4686430</wp:posOffset>
          </wp:positionH>
          <wp:positionV relativeFrom="paragraph">
            <wp:posOffset>-144142</wp:posOffset>
          </wp:positionV>
          <wp:extent cx="1437380" cy="951865"/>
          <wp:effectExtent l="0" t="0" r="0" b="0"/>
          <wp:wrapSquare wrapText="bothSides" distT="0" distB="0" distL="0" distR="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37380" cy="95186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837AA" w14:textId="33FFF015" w:rsidR="00B771F7" w:rsidRDefault="00603844">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0" locked="0" layoutInCell="1" hidden="0" allowOverlap="1" wp14:anchorId="430A04FA" wp14:editId="726DD032">
          <wp:simplePos x="0" y="0"/>
          <wp:positionH relativeFrom="column">
            <wp:posOffset>1017585</wp:posOffset>
          </wp:positionH>
          <wp:positionV relativeFrom="paragraph">
            <wp:posOffset>1607185</wp:posOffset>
          </wp:positionV>
          <wp:extent cx="3239139" cy="2145030"/>
          <wp:effectExtent l="0" t="0" r="0" b="0"/>
          <wp:wrapSquare wrapText="bothSides" distT="0" distB="0" distL="0" distR="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239139" cy="21450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24F4"/>
    <w:multiLevelType w:val="multilevel"/>
    <w:tmpl w:val="E18C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F1855"/>
    <w:multiLevelType w:val="multilevel"/>
    <w:tmpl w:val="4BB6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760A7"/>
    <w:multiLevelType w:val="multilevel"/>
    <w:tmpl w:val="4FE0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84D65"/>
    <w:multiLevelType w:val="multilevel"/>
    <w:tmpl w:val="A6C8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094CB7"/>
    <w:multiLevelType w:val="hybridMultilevel"/>
    <w:tmpl w:val="A912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C4C12"/>
    <w:multiLevelType w:val="multilevel"/>
    <w:tmpl w:val="3A94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D20B5"/>
    <w:multiLevelType w:val="multilevel"/>
    <w:tmpl w:val="F2AE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4589A"/>
    <w:multiLevelType w:val="multilevel"/>
    <w:tmpl w:val="8556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7A1196"/>
    <w:multiLevelType w:val="multilevel"/>
    <w:tmpl w:val="B37E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0569F3"/>
    <w:multiLevelType w:val="multilevel"/>
    <w:tmpl w:val="C506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5D528A"/>
    <w:multiLevelType w:val="multilevel"/>
    <w:tmpl w:val="7262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CA35C3"/>
    <w:multiLevelType w:val="multilevel"/>
    <w:tmpl w:val="57A6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FD1836"/>
    <w:multiLevelType w:val="multilevel"/>
    <w:tmpl w:val="2732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757287"/>
    <w:multiLevelType w:val="multilevel"/>
    <w:tmpl w:val="D264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F64B8F"/>
    <w:multiLevelType w:val="multilevel"/>
    <w:tmpl w:val="DDE4F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40E2734"/>
    <w:multiLevelType w:val="multilevel"/>
    <w:tmpl w:val="65C4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2428E9"/>
    <w:multiLevelType w:val="multilevel"/>
    <w:tmpl w:val="45E2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A63D60"/>
    <w:multiLevelType w:val="multilevel"/>
    <w:tmpl w:val="A412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776A7C"/>
    <w:multiLevelType w:val="multilevel"/>
    <w:tmpl w:val="B0B24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6F1AF8"/>
    <w:multiLevelType w:val="multilevel"/>
    <w:tmpl w:val="92B80B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63321695">
    <w:abstractNumId w:val="19"/>
  </w:num>
  <w:num w:numId="2" w16cid:durableId="1952123252">
    <w:abstractNumId w:val="14"/>
  </w:num>
  <w:num w:numId="3" w16cid:durableId="1165319653">
    <w:abstractNumId w:val="17"/>
  </w:num>
  <w:num w:numId="4" w16cid:durableId="1877548542">
    <w:abstractNumId w:val="1"/>
  </w:num>
  <w:num w:numId="5" w16cid:durableId="388965459">
    <w:abstractNumId w:val="12"/>
  </w:num>
  <w:num w:numId="6" w16cid:durableId="1870142083">
    <w:abstractNumId w:val="2"/>
  </w:num>
  <w:num w:numId="7" w16cid:durableId="1940067455">
    <w:abstractNumId w:val="3"/>
  </w:num>
  <w:num w:numId="8" w16cid:durableId="2108649955">
    <w:abstractNumId w:val="7"/>
  </w:num>
  <w:num w:numId="9" w16cid:durableId="2115978379">
    <w:abstractNumId w:val="15"/>
  </w:num>
  <w:num w:numId="10" w16cid:durableId="1975061521">
    <w:abstractNumId w:val="6"/>
  </w:num>
  <w:num w:numId="11" w16cid:durableId="1736009362">
    <w:abstractNumId w:val="9"/>
  </w:num>
  <w:num w:numId="12" w16cid:durableId="1229801924">
    <w:abstractNumId w:val="11"/>
  </w:num>
  <w:num w:numId="13" w16cid:durableId="1274093496">
    <w:abstractNumId w:val="4"/>
  </w:num>
  <w:num w:numId="14" w16cid:durableId="1571891233">
    <w:abstractNumId w:val="5"/>
  </w:num>
  <w:num w:numId="15" w16cid:durableId="457456489">
    <w:abstractNumId w:val="10"/>
  </w:num>
  <w:num w:numId="16" w16cid:durableId="1471052193">
    <w:abstractNumId w:val="13"/>
  </w:num>
  <w:num w:numId="17" w16cid:durableId="791480035">
    <w:abstractNumId w:val="18"/>
  </w:num>
  <w:num w:numId="18" w16cid:durableId="1834297779">
    <w:abstractNumId w:val="16"/>
  </w:num>
  <w:num w:numId="19" w16cid:durableId="1964193829">
    <w:abstractNumId w:val="0"/>
  </w:num>
  <w:num w:numId="20" w16cid:durableId="18373331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F7"/>
    <w:rsid w:val="00004100"/>
    <w:rsid w:val="001F2DA1"/>
    <w:rsid w:val="00435BAB"/>
    <w:rsid w:val="004660FD"/>
    <w:rsid w:val="00575D7A"/>
    <w:rsid w:val="00603844"/>
    <w:rsid w:val="007E19AB"/>
    <w:rsid w:val="008F6CEF"/>
    <w:rsid w:val="00B771F7"/>
    <w:rsid w:val="00BA35A8"/>
    <w:rsid w:val="00CE7261"/>
    <w:rsid w:val="00DB4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20E87"/>
  <w15:docId w15:val="{7D08C46C-8914-7C46-B227-3E708B31A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paragraph" w:styleId="NormalWeb">
    <w:name w:val="Normal (Web)"/>
    <w:basedOn w:val="Normal"/>
    <w:uiPriority w:val="99"/>
    <w:unhideWhenUsed/>
    <w:rsid w:val="00BA35A8"/>
    <w:pPr>
      <w:spacing w:before="100" w:beforeAutospacing="1" w:after="100" w:afterAutospacing="1"/>
    </w:pPr>
    <w:rPr>
      <w:rFonts w:ascii="Times New Roman" w:eastAsia="Times New Roman" w:hAnsi="Times New Roman" w:cs="Times New Roman"/>
      <w:lang w:val="en-GB"/>
    </w:rPr>
  </w:style>
  <w:style w:type="character" w:styleId="Strong">
    <w:name w:val="Strong"/>
    <w:basedOn w:val="DefaultParagraphFont"/>
    <w:uiPriority w:val="22"/>
    <w:qFormat/>
    <w:rsid w:val="00BA35A8"/>
    <w:rPr>
      <w:b/>
      <w:bCs/>
    </w:rPr>
  </w:style>
  <w:style w:type="character" w:customStyle="1" w:styleId="apple-converted-space">
    <w:name w:val="apple-converted-space"/>
    <w:basedOn w:val="DefaultParagraphFont"/>
    <w:rsid w:val="00BA35A8"/>
  </w:style>
  <w:style w:type="character" w:styleId="Emphasis">
    <w:name w:val="Emphasis"/>
    <w:basedOn w:val="DefaultParagraphFont"/>
    <w:uiPriority w:val="20"/>
    <w:qFormat/>
    <w:rsid w:val="00BA35A8"/>
    <w:rPr>
      <w:i/>
      <w:iCs/>
    </w:rPr>
  </w:style>
  <w:style w:type="paragraph" w:styleId="ListParagraph">
    <w:name w:val="List Paragraph"/>
    <w:basedOn w:val="Normal"/>
    <w:uiPriority w:val="34"/>
    <w:qFormat/>
    <w:rsid w:val="00BA35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018301">
      <w:bodyDiv w:val="1"/>
      <w:marLeft w:val="0"/>
      <w:marRight w:val="0"/>
      <w:marTop w:val="0"/>
      <w:marBottom w:val="0"/>
      <w:divBdr>
        <w:top w:val="none" w:sz="0" w:space="0" w:color="auto"/>
        <w:left w:val="none" w:sz="0" w:space="0" w:color="auto"/>
        <w:bottom w:val="none" w:sz="0" w:space="0" w:color="auto"/>
        <w:right w:val="none" w:sz="0" w:space="0" w:color="auto"/>
      </w:divBdr>
    </w:div>
    <w:div w:id="313070428">
      <w:bodyDiv w:val="1"/>
      <w:marLeft w:val="0"/>
      <w:marRight w:val="0"/>
      <w:marTop w:val="0"/>
      <w:marBottom w:val="0"/>
      <w:divBdr>
        <w:top w:val="none" w:sz="0" w:space="0" w:color="auto"/>
        <w:left w:val="none" w:sz="0" w:space="0" w:color="auto"/>
        <w:bottom w:val="none" w:sz="0" w:space="0" w:color="auto"/>
        <w:right w:val="none" w:sz="0" w:space="0" w:color="auto"/>
      </w:divBdr>
    </w:div>
    <w:div w:id="371074634">
      <w:bodyDiv w:val="1"/>
      <w:marLeft w:val="0"/>
      <w:marRight w:val="0"/>
      <w:marTop w:val="0"/>
      <w:marBottom w:val="0"/>
      <w:divBdr>
        <w:top w:val="none" w:sz="0" w:space="0" w:color="auto"/>
        <w:left w:val="none" w:sz="0" w:space="0" w:color="auto"/>
        <w:bottom w:val="none" w:sz="0" w:space="0" w:color="auto"/>
        <w:right w:val="none" w:sz="0" w:space="0" w:color="auto"/>
      </w:divBdr>
    </w:div>
    <w:div w:id="464087408">
      <w:bodyDiv w:val="1"/>
      <w:marLeft w:val="0"/>
      <w:marRight w:val="0"/>
      <w:marTop w:val="0"/>
      <w:marBottom w:val="0"/>
      <w:divBdr>
        <w:top w:val="none" w:sz="0" w:space="0" w:color="auto"/>
        <w:left w:val="none" w:sz="0" w:space="0" w:color="auto"/>
        <w:bottom w:val="none" w:sz="0" w:space="0" w:color="auto"/>
        <w:right w:val="none" w:sz="0" w:space="0" w:color="auto"/>
      </w:divBdr>
    </w:div>
    <w:div w:id="539711901">
      <w:bodyDiv w:val="1"/>
      <w:marLeft w:val="0"/>
      <w:marRight w:val="0"/>
      <w:marTop w:val="0"/>
      <w:marBottom w:val="0"/>
      <w:divBdr>
        <w:top w:val="none" w:sz="0" w:space="0" w:color="auto"/>
        <w:left w:val="none" w:sz="0" w:space="0" w:color="auto"/>
        <w:bottom w:val="none" w:sz="0" w:space="0" w:color="auto"/>
        <w:right w:val="none" w:sz="0" w:space="0" w:color="auto"/>
      </w:divBdr>
    </w:div>
    <w:div w:id="858815897">
      <w:bodyDiv w:val="1"/>
      <w:marLeft w:val="0"/>
      <w:marRight w:val="0"/>
      <w:marTop w:val="0"/>
      <w:marBottom w:val="0"/>
      <w:divBdr>
        <w:top w:val="none" w:sz="0" w:space="0" w:color="auto"/>
        <w:left w:val="none" w:sz="0" w:space="0" w:color="auto"/>
        <w:bottom w:val="none" w:sz="0" w:space="0" w:color="auto"/>
        <w:right w:val="none" w:sz="0" w:space="0" w:color="auto"/>
      </w:divBdr>
    </w:div>
    <w:div w:id="890118555">
      <w:bodyDiv w:val="1"/>
      <w:marLeft w:val="0"/>
      <w:marRight w:val="0"/>
      <w:marTop w:val="0"/>
      <w:marBottom w:val="0"/>
      <w:divBdr>
        <w:top w:val="none" w:sz="0" w:space="0" w:color="auto"/>
        <w:left w:val="none" w:sz="0" w:space="0" w:color="auto"/>
        <w:bottom w:val="none" w:sz="0" w:space="0" w:color="auto"/>
        <w:right w:val="none" w:sz="0" w:space="0" w:color="auto"/>
      </w:divBdr>
    </w:div>
    <w:div w:id="995187744">
      <w:bodyDiv w:val="1"/>
      <w:marLeft w:val="0"/>
      <w:marRight w:val="0"/>
      <w:marTop w:val="0"/>
      <w:marBottom w:val="0"/>
      <w:divBdr>
        <w:top w:val="none" w:sz="0" w:space="0" w:color="auto"/>
        <w:left w:val="none" w:sz="0" w:space="0" w:color="auto"/>
        <w:bottom w:val="none" w:sz="0" w:space="0" w:color="auto"/>
        <w:right w:val="none" w:sz="0" w:space="0" w:color="auto"/>
      </w:divBdr>
    </w:div>
    <w:div w:id="1117720128">
      <w:bodyDiv w:val="1"/>
      <w:marLeft w:val="0"/>
      <w:marRight w:val="0"/>
      <w:marTop w:val="0"/>
      <w:marBottom w:val="0"/>
      <w:divBdr>
        <w:top w:val="none" w:sz="0" w:space="0" w:color="auto"/>
        <w:left w:val="none" w:sz="0" w:space="0" w:color="auto"/>
        <w:bottom w:val="none" w:sz="0" w:space="0" w:color="auto"/>
        <w:right w:val="none" w:sz="0" w:space="0" w:color="auto"/>
      </w:divBdr>
    </w:div>
    <w:div w:id="1127047627">
      <w:bodyDiv w:val="1"/>
      <w:marLeft w:val="0"/>
      <w:marRight w:val="0"/>
      <w:marTop w:val="0"/>
      <w:marBottom w:val="0"/>
      <w:divBdr>
        <w:top w:val="none" w:sz="0" w:space="0" w:color="auto"/>
        <w:left w:val="none" w:sz="0" w:space="0" w:color="auto"/>
        <w:bottom w:val="none" w:sz="0" w:space="0" w:color="auto"/>
        <w:right w:val="none" w:sz="0" w:space="0" w:color="auto"/>
      </w:divBdr>
    </w:div>
    <w:div w:id="1235050640">
      <w:bodyDiv w:val="1"/>
      <w:marLeft w:val="0"/>
      <w:marRight w:val="0"/>
      <w:marTop w:val="0"/>
      <w:marBottom w:val="0"/>
      <w:divBdr>
        <w:top w:val="none" w:sz="0" w:space="0" w:color="auto"/>
        <w:left w:val="none" w:sz="0" w:space="0" w:color="auto"/>
        <w:bottom w:val="none" w:sz="0" w:space="0" w:color="auto"/>
        <w:right w:val="none" w:sz="0" w:space="0" w:color="auto"/>
      </w:divBdr>
    </w:div>
    <w:div w:id="1311441304">
      <w:bodyDiv w:val="1"/>
      <w:marLeft w:val="0"/>
      <w:marRight w:val="0"/>
      <w:marTop w:val="0"/>
      <w:marBottom w:val="0"/>
      <w:divBdr>
        <w:top w:val="none" w:sz="0" w:space="0" w:color="auto"/>
        <w:left w:val="none" w:sz="0" w:space="0" w:color="auto"/>
        <w:bottom w:val="none" w:sz="0" w:space="0" w:color="auto"/>
        <w:right w:val="none" w:sz="0" w:space="0" w:color="auto"/>
      </w:divBdr>
    </w:div>
    <w:div w:id="1476992109">
      <w:bodyDiv w:val="1"/>
      <w:marLeft w:val="0"/>
      <w:marRight w:val="0"/>
      <w:marTop w:val="0"/>
      <w:marBottom w:val="0"/>
      <w:divBdr>
        <w:top w:val="none" w:sz="0" w:space="0" w:color="auto"/>
        <w:left w:val="none" w:sz="0" w:space="0" w:color="auto"/>
        <w:bottom w:val="none" w:sz="0" w:space="0" w:color="auto"/>
        <w:right w:val="none" w:sz="0" w:space="0" w:color="auto"/>
      </w:divBdr>
    </w:div>
    <w:div w:id="1548491456">
      <w:bodyDiv w:val="1"/>
      <w:marLeft w:val="0"/>
      <w:marRight w:val="0"/>
      <w:marTop w:val="0"/>
      <w:marBottom w:val="0"/>
      <w:divBdr>
        <w:top w:val="none" w:sz="0" w:space="0" w:color="auto"/>
        <w:left w:val="none" w:sz="0" w:space="0" w:color="auto"/>
        <w:bottom w:val="none" w:sz="0" w:space="0" w:color="auto"/>
        <w:right w:val="none" w:sz="0" w:space="0" w:color="auto"/>
      </w:divBdr>
    </w:div>
    <w:div w:id="1554347084">
      <w:bodyDiv w:val="1"/>
      <w:marLeft w:val="0"/>
      <w:marRight w:val="0"/>
      <w:marTop w:val="0"/>
      <w:marBottom w:val="0"/>
      <w:divBdr>
        <w:top w:val="none" w:sz="0" w:space="0" w:color="auto"/>
        <w:left w:val="none" w:sz="0" w:space="0" w:color="auto"/>
        <w:bottom w:val="none" w:sz="0" w:space="0" w:color="auto"/>
        <w:right w:val="none" w:sz="0" w:space="0" w:color="auto"/>
      </w:divBdr>
    </w:div>
    <w:div w:id="1597057605">
      <w:bodyDiv w:val="1"/>
      <w:marLeft w:val="0"/>
      <w:marRight w:val="0"/>
      <w:marTop w:val="0"/>
      <w:marBottom w:val="0"/>
      <w:divBdr>
        <w:top w:val="none" w:sz="0" w:space="0" w:color="auto"/>
        <w:left w:val="none" w:sz="0" w:space="0" w:color="auto"/>
        <w:bottom w:val="none" w:sz="0" w:space="0" w:color="auto"/>
        <w:right w:val="none" w:sz="0" w:space="0" w:color="auto"/>
      </w:divBdr>
    </w:div>
    <w:div w:id="1710256585">
      <w:bodyDiv w:val="1"/>
      <w:marLeft w:val="0"/>
      <w:marRight w:val="0"/>
      <w:marTop w:val="0"/>
      <w:marBottom w:val="0"/>
      <w:divBdr>
        <w:top w:val="none" w:sz="0" w:space="0" w:color="auto"/>
        <w:left w:val="none" w:sz="0" w:space="0" w:color="auto"/>
        <w:bottom w:val="none" w:sz="0" w:space="0" w:color="auto"/>
        <w:right w:val="none" w:sz="0" w:space="0" w:color="auto"/>
      </w:divBdr>
    </w:div>
    <w:div w:id="1990475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mM2SEsSPJO3BQBkSFHDbundN86A==">AMUW2mW0yRkurY+D+Dt7AKs14swH6FgfMTk+I74PjsCtS/F+lAuY+hdVUYemh3IbIeawzkkzltHQP3A8OElCtx+b/ytf+vwtwhHM64VM2o9AkHVk5s9USYam51DUY1NLneDWd69ejvHedBTi1GI5G+2z0woqCZ90QQ==</go:docsCustomData>
</go:gDocsCustomXmlDataStorage>
</file>

<file path=customXml/itemProps1.xml><?xml version="1.0" encoding="utf-8"?>
<ds:datastoreItem xmlns:ds="http://schemas.openxmlformats.org/officeDocument/2006/customXml" ds:itemID="{81CCB021-248A-DC4D-AF81-C44C6465EF9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796</Words>
  <Characters>4542</Characters>
  <Application>Microsoft Office Word</Application>
  <DocSecurity>0</DocSecurity>
  <Lines>37</Lines>
  <Paragraphs>10</Paragraphs>
  <ScaleCrop>false</ScaleCrop>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Russell Chinery</cp:lastModifiedBy>
  <cp:revision>3</cp:revision>
  <dcterms:created xsi:type="dcterms:W3CDTF">2025-09-24T17:41:00Z</dcterms:created>
  <dcterms:modified xsi:type="dcterms:W3CDTF">2025-10-16T17:44:00Z</dcterms:modified>
</cp:coreProperties>
</file>