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7" w:right="-766" w:firstLine="0"/>
        <w:rPr>
          <w:rFonts w:ascii="Arial" w:cs="Arial" w:eastAsia="Arial" w:hAnsi="Arial"/>
          <w:color w:val="56b4a8"/>
          <w:sz w:val="80"/>
          <w:szCs w:val="80"/>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ind w:left="-567" w:right="-766" w:firstLine="0"/>
        <w:rPr>
          <w:rFonts w:ascii="Arial" w:cs="Arial" w:eastAsia="Arial" w:hAnsi="Arial"/>
          <w:color w:val="56b4a8"/>
          <w:sz w:val="80"/>
          <w:szCs w:val="80"/>
        </w:rPr>
      </w:pPr>
      <w:r w:rsidDel="00000000" w:rsidR="00000000" w:rsidRPr="00000000">
        <w:rPr>
          <w:rtl w:val="0"/>
        </w:rPr>
      </w:r>
    </w:p>
    <w:p w:rsidR="00000000" w:rsidDel="00000000" w:rsidP="00000000" w:rsidRDefault="00000000" w:rsidRPr="00000000" w14:paraId="00000003">
      <w:pPr>
        <w:ind w:left="-567" w:right="-766" w:firstLine="0"/>
        <w:rPr>
          <w:rFonts w:ascii="Arial" w:cs="Arial" w:eastAsia="Arial" w:hAnsi="Arial"/>
          <w:color w:val="56b4a8"/>
          <w:sz w:val="80"/>
          <w:szCs w:val="80"/>
        </w:rPr>
      </w:pPr>
      <w:r w:rsidDel="00000000" w:rsidR="00000000" w:rsidRPr="00000000">
        <w:rPr>
          <w:rtl w:val="0"/>
        </w:rPr>
      </w:r>
    </w:p>
    <w:p w:rsidR="00000000" w:rsidDel="00000000" w:rsidP="00000000" w:rsidRDefault="00000000" w:rsidRPr="00000000" w14:paraId="00000004">
      <w:pPr>
        <w:ind w:left="-567" w:right="-766" w:firstLine="0"/>
        <w:rPr>
          <w:rFonts w:ascii="Arial" w:cs="Arial" w:eastAsia="Arial" w:hAnsi="Arial"/>
          <w:color w:val="56b4a8"/>
          <w:sz w:val="80"/>
          <w:szCs w:val="80"/>
        </w:rPr>
      </w:pPr>
      <w:r w:rsidDel="00000000" w:rsidR="00000000" w:rsidRPr="00000000">
        <w:rPr>
          <w:rtl w:val="0"/>
        </w:rPr>
      </w:r>
    </w:p>
    <w:p w:rsidR="00000000" w:rsidDel="00000000" w:rsidP="00000000" w:rsidRDefault="00000000" w:rsidRPr="00000000" w14:paraId="00000005">
      <w:pPr>
        <w:ind w:left="-567" w:right="-766" w:firstLine="0"/>
        <w:rPr>
          <w:rFonts w:ascii="Arial" w:cs="Arial" w:eastAsia="Arial" w:hAnsi="Arial"/>
          <w:color w:val="56b4a8"/>
          <w:sz w:val="80"/>
          <w:szCs w:val="80"/>
        </w:rPr>
      </w:pPr>
      <w:r w:rsidDel="00000000" w:rsidR="00000000" w:rsidRPr="00000000">
        <w:rPr>
          <w:rtl w:val="0"/>
        </w:rPr>
      </w:r>
    </w:p>
    <w:p w:rsidR="00000000" w:rsidDel="00000000" w:rsidP="00000000" w:rsidRDefault="00000000" w:rsidRPr="00000000" w14:paraId="00000006">
      <w:pPr>
        <w:ind w:left="-567" w:right="-766" w:firstLine="0"/>
        <w:rPr>
          <w:rFonts w:ascii="Arial" w:cs="Arial" w:eastAsia="Arial" w:hAnsi="Arial"/>
          <w:color w:val="56b4a8"/>
          <w:sz w:val="80"/>
          <w:szCs w:val="80"/>
        </w:rPr>
      </w:pPr>
      <w:r w:rsidDel="00000000" w:rsidR="00000000" w:rsidRPr="00000000">
        <w:rPr>
          <w:rtl w:val="0"/>
        </w:rPr>
      </w:r>
    </w:p>
    <w:p w:rsidR="00000000" w:rsidDel="00000000" w:rsidP="00000000" w:rsidRDefault="00000000" w:rsidRPr="00000000" w14:paraId="00000007">
      <w:pPr>
        <w:ind w:left="-567" w:right="-766" w:firstLine="0"/>
        <w:rPr>
          <w:rFonts w:ascii="Arial" w:cs="Arial" w:eastAsia="Arial" w:hAnsi="Arial"/>
          <w:color w:val="56b4a8"/>
          <w:sz w:val="80"/>
          <w:szCs w:val="8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200025</wp:posOffset>
                </wp:positionH>
                <wp:positionV relativeFrom="paragraph">
                  <wp:posOffset>76200</wp:posOffset>
                </wp:positionV>
                <wp:extent cx="5048250" cy="2305050"/>
                <wp:effectExtent b="0" l="0" r="0" t="0"/>
                <wp:wrapNone/>
                <wp:docPr id="18" name=""/>
                <a:graphic>
                  <a:graphicData uri="http://schemas.microsoft.com/office/word/2010/wordprocessingShape">
                    <wps:wsp>
                      <wps:cNvSpPr/>
                      <wps:cNvPr id="3" name="Shape 3"/>
                      <wps:spPr>
                        <a:xfrm>
                          <a:off x="2831400" y="2637000"/>
                          <a:ext cx="5029200" cy="2286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56b4a8"/>
                                <w:sz w:val="48"/>
                                <w:vertAlign w:val="baseline"/>
                              </w:rPr>
                              <w:t xml:space="preserve">Iffley Academy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56b4a8"/>
                                <w:sz w:val="48"/>
                                <w:vertAlign w:val="baseline"/>
                              </w:rPr>
                            </w:r>
                            <w:r w:rsidDel="00000000" w:rsidR="00000000" w:rsidRPr="00000000">
                              <w:rPr>
                                <w:rFonts w:ascii="Arial" w:cs="Arial" w:eastAsia="Arial" w:hAnsi="Arial"/>
                                <w:b w:val="0"/>
                                <w:i w:val="0"/>
                                <w:smallCaps w:val="0"/>
                                <w:strike w:val="0"/>
                                <w:color w:val="56b4a8"/>
                                <w:sz w:val="48"/>
                                <w:vertAlign w:val="baseline"/>
                              </w:rPr>
                              <w:t xml:space="preserve">Provider Access Policy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56b4a8"/>
                                <w:sz w:val="4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200025</wp:posOffset>
                </wp:positionH>
                <wp:positionV relativeFrom="paragraph">
                  <wp:posOffset>76200</wp:posOffset>
                </wp:positionV>
                <wp:extent cx="5048250" cy="2305050"/>
                <wp:effectExtent b="0" l="0" r="0" t="0"/>
                <wp:wrapNone/>
                <wp:docPr id="1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048250" cy="2305050"/>
                        </a:xfrm>
                        <a:prstGeom prst="rect"/>
                        <a:ln/>
                      </pic:spPr>
                    </pic:pic>
                  </a:graphicData>
                </a:graphic>
              </wp:anchor>
            </w:drawing>
          </mc:Fallback>
        </mc:AlternateContent>
      </w:r>
    </w:p>
    <w:p w:rsidR="00000000" w:rsidDel="00000000" w:rsidP="00000000" w:rsidRDefault="00000000" w:rsidRPr="00000000" w14:paraId="00000008">
      <w:pPr>
        <w:ind w:left="-567" w:right="-766" w:firstLine="0"/>
        <w:rPr>
          <w:rFonts w:ascii="Arial" w:cs="Arial" w:eastAsia="Arial" w:hAnsi="Arial"/>
          <w:color w:val="56b4a8"/>
          <w:sz w:val="80"/>
          <w:szCs w:val="80"/>
        </w:rPr>
      </w:pPr>
      <w:r w:rsidDel="00000000" w:rsidR="00000000" w:rsidRPr="00000000">
        <w:rPr>
          <w:rtl w:val="0"/>
        </w:rPr>
      </w:r>
    </w:p>
    <w:p w:rsidR="00000000" w:rsidDel="00000000" w:rsidP="00000000" w:rsidRDefault="00000000" w:rsidRPr="00000000" w14:paraId="00000009">
      <w:pPr>
        <w:ind w:left="-567" w:right="-766" w:firstLine="0"/>
        <w:rPr>
          <w:rFonts w:ascii="Arial" w:cs="Arial" w:eastAsia="Arial" w:hAnsi="Arial"/>
          <w:color w:val="56b4a8"/>
          <w:sz w:val="80"/>
          <w:szCs w:val="80"/>
        </w:rPr>
      </w:pPr>
      <w:r w:rsidDel="00000000" w:rsidR="00000000" w:rsidRPr="00000000">
        <w:rPr>
          <w:rtl w:val="0"/>
        </w:rPr>
      </w:r>
    </w:p>
    <w:p w:rsidR="00000000" w:rsidDel="00000000" w:rsidP="00000000" w:rsidRDefault="00000000" w:rsidRPr="00000000" w14:paraId="0000000A">
      <w:pPr>
        <w:ind w:left="-567" w:right="-766" w:firstLine="0"/>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203200</wp:posOffset>
                </wp:positionV>
                <wp:extent cx="4881880" cy="2426665"/>
                <wp:effectExtent b="0" l="0" r="0" t="0"/>
                <wp:wrapSquare wrapText="bothSides" distB="0" distT="0" distL="114300" distR="114300"/>
                <wp:docPr id="17" name=""/>
                <a:graphic>
                  <a:graphicData uri="http://schemas.microsoft.com/office/word/2010/wordprocessingShape">
                    <wps:wsp>
                      <wps:cNvSpPr/>
                      <wps:cNvPr id="2" name="Shape 2"/>
                      <wps:spPr>
                        <a:xfrm>
                          <a:off x="2914585" y="2574453"/>
                          <a:ext cx="4862830" cy="2411095"/>
                        </a:xfrm>
                        <a:prstGeom prst="rect">
                          <a:avLst/>
                        </a:prstGeom>
                        <a:noFill/>
                        <a:ln cap="flat" cmpd="sng" w="9525">
                          <a:solidFill>
                            <a:srgbClr val="B2A0C7"/>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56b4a8"/>
                                <w:sz w:val="28"/>
                                <w:vertAlign w:val="baseline"/>
                              </w:rPr>
                              <w:t xml:space="preserve">Written				</w:t>
                            </w:r>
                            <w:r w:rsidDel="00000000" w:rsidR="00000000" w:rsidRPr="00000000">
                              <w:rPr>
                                <w:rFonts w:ascii="Arial" w:cs="Arial" w:eastAsia="Arial" w:hAnsi="Arial"/>
                                <w:b w:val="0"/>
                                <w:i w:val="0"/>
                                <w:smallCaps w:val="0"/>
                                <w:strike w:val="0"/>
                                <w:color w:val="56b4a8"/>
                                <w:sz w:val="28"/>
                                <w:vertAlign w:val="baseline"/>
                              </w:rPr>
                              <w:t xml:space="preserve">February</w:t>
                            </w:r>
                            <w:r w:rsidDel="00000000" w:rsidR="00000000" w:rsidRPr="00000000">
                              <w:rPr>
                                <w:rFonts w:ascii="Arial" w:cs="Arial" w:eastAsia="Arial" w:hAnsi="Arial"/>
                                <w:b w:val="0"/>
                                <w:i w:val="0"/>
                                <w:smallCaps w:val="0"/>
                                <w:strike w:val="0"/>
                                <w:color w:val="56b4a8"/>
                                <w:sz w:val="28"/>
                                <w:vertAlign w:val="baseline"/>
                              </w:rPr>
                              <w:t xml:space="preserve"> 202</w:t>
                            </w:r>
                            <w:r w:rsidDel="00000000" w:rsidR="00000000" w:rsidRPr="00000000">
                              <w:rPr>
                                <w:rFonts w:ascii="Arial" w:cs="Arial" w:eastAsia="Arial" w:hAnsi="Arial"/>
                                <w:b w:val="0"/>
                                <w:i w:val="0"/>
                                <w:smallCaps w:val="0"/>
                                <w:strike w:val="0"/>
                                <w:color w:val="56b4a8"/>
                                <w:sz w:val="28"/>
                                <w:vertAlign w:val="baseline"/>
                              </w:rPr>
                              <w:t xml:space="preserve">5</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56b4a8"/>
                                <w:sz w:val="28"/>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56b4a8"/>
                                <w:sz w:val="28"/>
                                <w:vertAlign w:val="baseline"/>
                              </w:rPr>
                            </w:r>
                            <w:r w:rsidDel="00000000" w:rsidR="00000000" w:rsidRPr="00000000">
                              <w:rPr>
                                <w:rFonts w:ascii="Arial" w:cs="Arial" w:eastAsia="Arial" w:hAnsi="Arial"/>
                                <w:b w:val="0"/>
                                <w:i w:val="0"/>
                                <w:smallCaps w:val="0"/>
                                <w:strike w:val="0"/>
                                <w:color w:val="56b4a8"/>
                                <w:sz w:val="28"/>
                                <w:vertAlign w:val="baseline"/>
                              </w:rPr>
                              <w:t xml:space="preserve">Date of review			</w:t>
                            </w:r>
                            <w:r w:rsidDel="00000000" w:rsidR="00000000" w:rsidRPr="00000000">
                              <w:rPr>
                                <w:rFonts w:ascii="Arial" w:cs="Arial" w:eastAsia="Arial" w:hAnsi="Arial"/>
                                <w:b w:val="0"/>
                                <w:i w:val="0"/>
                                <w:smallCaps w:val="0"/>
                                <w:strike w:val="0"/>
                                <w:color w:val="56b4a8"/>
                                <w:sz w:val="28"/>
                                <w:vertAlign w:val="baseline"/>
                              </w:rPr>
                              <w:t xml:space="preserve">February</w:t>
                            </w:r>
                            <w:r w:rsidDel="00000000" w:rsidR="00000000" w:rsidRPr="00000000">
                              <w:rPr>
                                <w:rFonts w:ascii="Arial" w:cs="Arial" w:eastAsia="Arial" w:hAnsi="Arial"/>
                                <w:b w:val="0"/>
                                <w:i w:val="0"/>
                                <w:smallCaps w:val="0"/>
                                <w:strike w:val="0"/>
                                <w:color w:val="56b4a8"/>
                                <w:sz w:val="28"/>
                                <w:vertAlign w:val="baseline"/>
                              </w:rPr>
                              <w:t xml:space="preserve"> 202</w:t>
                            </w:r>
                            <w:r w:rsidDel="00000000" w:rsidR="00000000" w:rsidRPr="00000000">
                              <w:rPr>
                                <w:rFonts w:ascii="Arial" w:cs="Arial" w:eastAsia="Arial" w:hAnsi="Arial"/>
                                <w:b w:val="0"/>
                                <w:i w:val="0"/>
                                <w:smallCaps w:val="0"/>
                                <w:strike w:val="0"/>
                                <w:color w:val="56b4a8"/>
                                <w:sz w:val="28"/>
                                <w:vertAlign w:val="baseline"/>
                              </w:rPr>
                              <w:t xml:space="preserve">7</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56b4a8"/>
                                <w:sz w:val="28"/>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56b4a8"/>
                                <w:sz w:val="28"/>
                                <w:vertAlign w:val="baseline"/>
                              </w:rPr>
                            </w:r>
                            <w:r w:rsidDel="00000000" w:rsidR="00000000" w:rsidRPr="00000000">
                              <w:rPr>
                                <w:rFonts w:ascii="Arial" w:cs="Arial" w:eastAsia="Arial" w:hAnsi="Arial"/>
                                <w:b w:val="0"/>
                                <w:i w:val="0"/>
                                <w:smallCaps w:val="0"/>
                                <w:strike w:val="0"/>
                                <w:color w:val="56b4a8"/>
                                <w:sz w:val="28"/>
                                <w:vertAlign w:val="baseline"/>
                              </w:rPr>
                              <w:t xml:space="preserve">SLT Lead				Debbie Nicholas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56b4a8"/>
                                <w:sz w:val="28"/>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56b4a8"/>
                                <w:sz w:val="28"/>
                                <w:vertAlign w:val="baseline"/>
                              </w:rPr>
                            </w:r>
                            <w:r w:rsidDel="00000000" w:rsidR="00000000" w:rsidRPr="00000000">
                              <w:rPr>
                                <w:rFonts w:ascii="Arial" w:cs="Arial" w:eastAsia="Arial" w:hAnsi="Arial"/>
                                <w:b w:val="0"/>
                                <w:i w:val="0"/>
                                <w:smallCaps w:val="0"/>
                                <w:strike w:val="0"/>
                                <w:color w:val="56b4a8"/>
                                <w:sz w:val="28"/>
                                <w:vertAlign w:val="baseline"/>
                              </w:rPr>
                              <w:t xml:space="preserve">Signed: Head Teacher		____________________</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56b4a8"/>
                                <w:sz w:val="28"/>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56b4a8"/>
                                <w:sz w:val="28"/>
                                <w:vertAlign w:val="baseline"/>
                              </w:rPr>
                            </w:r>
                            <w:r w:rsidDel="00000000" w:rsidR="00000000" w:rsidRPr="00000000">
                              <w:rPr>
                                <w:rFonts w:ascii="Arial" w:cs="Arial" w:eastAsia="Arial" w:hAnsi="Arial"/>
                                <w:b w:val="0"/>
                                <w:i w:val="0"/>
                                <w:smallCaps w:val="0"/>
                                <w:strike w:val="0"/>
                                <w:color w:val="56b4a8"/>
                                <w:sz w:val="28"/>
                                <w:vertAlign w:val="baseline"/>
                              </w:rPr>
                              <w:t xml:space="preserve">Chair of Trustees			____________________</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203200</wp:posOffset>
                </wp:positionV>
                <wp:extent cx="4881880" cy="2426665"/>
                <wp:effectExtent b="0" l="0" r="0" t="0"/>
                <wp:wrapSquare wrapText="bothSides" distB="0" distT="0" distL="114300" distR="114300"/>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881880" cy="2426665"/>
                        </a:xfrm>
                        <a:prstGeom prst="rect"/>
                        <a:ln/>
                      </pic:spPr>
                    </pic:pic>
                  </a:graphicData>
                </a:graphic>
              </wp:anchor>
            </w:drawing>
          </mc:Fallback>
        </mc:AlternateContent>
      </w:r>
    </w:p>
    <w:p w:rsidR="00000000" w:rsidDel="00000000" w:rsidP="00000000" w:rsidRDefault="00000000" w:rsidRPr="00000000" w14:paraId="0000000B">
      <w:pPr>
        <w:ind w:left="-567" w:right="-766"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ind w:left="-567" w:right="-766" w:firstLine="0"/>
        <w:rPr>
          <w:rFonts w:ascii="Arial" w:cs="Arial" w:eastAsia="Arial" w:hAnsi="Arial"/>
          <w:b w:val="1"/>
        </w:rPr>
      </w:pPr>
      <w:r w:rsidDel="00000000" w:rsidR="00000000" w:rsidRPr="00000000">
        <w:rPr>
          <w:rtl w:val="0"/>
        </w:rPr>
      </w:r>
    </w:p>
    <w:p w:rsidR="00000000" w:rsidDel="00000000" w:rsidP="00000000" w:rsidRDefault="00000000" w:rsidRPr="00000000" w14:paraId="0000000D">
      <w:pPr>
        <w:spacing w:line="288" w:lineRule="auto"/>
        <w:ind w:left="-567" w:right="-766" w:firstLine="0"/>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line="288" w:lineRule="auto"/>
        <w:ind w:left="-567" w:right="-766" w:firstLine="0"/>
        <w:rPr>
          <w:rFonts w:ascii="Arial" w:cs="Arial" w:eastAsia="Arial" w:hAnsi="Arial"/>
          <w:b w:val="1"/>
        </w:rPr>
      </w:pPr>
      <w:r w:rsidDel="00000000" w:rsidR="00000000" w:rsidRPr="00000000">
        <w:rPr>
          <w:rtl w:val="0"/>
        </w:rPr>
      </w:r>
    </w:p>
    <w:p w:rsidR="00000000" w:rsidDel="00000000" w:rsidP="00000000" w:rsidRDefault="00000000" w:rsidRPr="00000000" w14:paraId="0000000F">
      <w:pPr>
        <w:spacing w:line="288" w:lineRule="auto"/>
        <w:ind w:left="-567" w:right="-766" w:firstLine="0"/>
        <w:rPr>
          <w:rFonts w:ascii="Arial" w:cs="Arial" w:eastAsia="Arial" w:hAnsi="Arial"/>
          <w:b w:val="1"/>
        </w:rPr>
      </w:pPr>
      <w:r w:rsidDel="00000000" w:rsidR="00000000" w:rsidRPr="00000000">
        <w:rPr>
          <w:rtl w:val="0"/>
        </w:rPr>
      </w:r>
    </w:p>
    <w:p w:rsidR="00000000" w:rsidDel="00000000" w:rsidP="00000000" w:rsidRDefault="00000000" w:rsidRPr="00000000" w14:paraId="00000010">
      <w:pPr>
        <w:spacing w:line="288" w:lineRule="auto"/>
        <w:ind w:left="-567" w:right="-766" w:firstLine="0"/>
        <w:rPr>
          <w:rFonts w:ascii="Arial" w:cs="Arial" w:eastAsia="Arial" w:hAnsi="Arial"/>
          <w:b w:val="1"/>
        </w:rPr>
      </w:pPr>
      <w:r w:rsidDel="00000000" w:rsidR="00000000" w:rsidRPr="00000000">
        <w:rPr>
          <w:rtl w:val="0"/>
        </w:rPr>
      </w:r>
    </w:p>
    <w:p w:rsidR="00000000" w:rsidDel="00000000" w:rsidP="00000000" w:rsidRDefault="00000000" w:rsidRPr="00000000" w14:paraId="00000011">
      <w:pPr>
        <w:spacing w:line="288" w:lineRule="auto"/>
        <w:ind w:left="-567" w:right="-766" w:firstLine="0"/>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line="288" w:lineRule="auto"/>
        <w:ind w:left="-567" w:right="-766" w:firstLine="0"/>
        <w:rPr>
          <w:rFonts w:ascii="Arial" w:cs="Arial" w:eastAsia="Arial" w:hAnsi="Arial"/>
          <w:b w:val="1"/>
        </w:rPr>
      </w:pPr>
      <w:r w:rsidDel="00000000" w:rsidR="00000000" w:rsidRPr="00000000">
        <w:rPr>
          <w:rtl w:val="0"/>
        </w:rPr>
      </w:r>
    </w:p>
    <w:p w:rsidR="00000000" w:rsidDel="00000000" w:rsidP="00000000" w:rsidRDefault="00000000" w:rsidRPr="00000000" w14:paraId="00000013">
      <w:pPr>
        <w:spacing w:line="288" w:lineRule="auto"/>
        <w:ind w:left="-567" w:right="-766" w:firstLine="0"/>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after="160" w:line="256.7994545454545" w:lineRule="auto"/>
        <w:rPr>
          <w:rFonts w:ascii="Arial" w:cs="Arial" w:eastAsia="Arial" w:hAnsi="Arial"/>
          <w:b w:val="1"/>
        </w:rPr>
      </w:pPr>
      <w:r w:rsidDel="00000000" w:rsidR="00000000" w:rsidRPr="00000000">
        <w:rPr>
          <w:rFonts w:ascii="Arial" w:cs="Arial" w:eastAsia="Arial" w:hAnsi="Arial"/>
          <w:b w:val="1"/>
          <w:rtl w:val="0"/>
        </w:rPr>
        <w:t xml:space="preserve">Rationale</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Under Section 42B of the Education Act 1997, as of January 2018, we have a duty to provide students in year 8-13 with access to providers of post-14, post-16 and post-18 education and training. This policy statement sets out how we manage access requests from these providers. </w:t>
      </w:r>
    </w:p>
    <w:p w:rsidR="00000000" w:rsidDel="00000000" w:rsidP="00000000" w:rsidRDefault="00000000" w:rsidRPr="00000000" w14:paraId="00000017">
      <w:pPr>
        <w:spacing w:after="160" w:line="256.7994545454545" w:lineRule="auto"/>
        <w:rPr>
          <w:rFonts w:ascii="Arial" w:cs="Arial" w:eastAsia="Arial" w:hAnsi="Arial"/>
          <w:b w:val="1"/>
        </w:rPr>
      </w:pPr>
      <w:r w:rsidDel="00000000" w:rsidR="00000000" w:rsidRPr="00000000">
        <w:rPr>
          <w:rtl w:val="0"/>
        </w:rPr>
      </w:r>
    </w:p>
    <w:p w:rsidR="00000000" w:rsidDel="00000000" w:rsidP="00000000" w:rsidRDefault="00000000" w:rsidRPr="00000000" w14:paraId="00000018">
      <w:pPr>
        <w:spacing w:after="160" w:line="256.7994545454545" w:lineRule="auto"/>
        <w:rPr>
          <w:rFonts w:ascii="Arial" w:cs="Arial" w:eastAsia="Arial" w:hAnsi="Arial"/>
        </w:rPr>
      </w:pPr>
      <w:r w:rsidDel="00000000" w:rsidR="00000000" w:rsidRPr="00000000">
        <w:rPr>
          <w:rFonts w:ascii="Arial" w:cs="Arial" w:eastAsia="Arial" w:hAnsi="Arial"/>
          <w:rtl w:val="0"/>
        </w:rPr>
        <w:t xml:space="preserve">High quality careers education and guidance is critical to young people’s futures. It helps to prepare them for their individual goals by providing a clear understanding of the world of work including the routes to jobs and careers that they might find engaging, rewarding and accessible. It supports them to acquire the self-development skills they need to achieve positive ongoing destinations. This helps students to choose their pathways, improve their life opportunities and contribute to a productive and successful economy.</w:t>
      </w:r>
    </w:p>
    <w:p w:rsidR="00000000" w:rsidDel="00000000" w:rsidP="00000000" w:rsidRDefault="00000000" w:rsidRPr="00000000" w14:paraId="00000019">
      <w:pPr>
        <w:spacing w:after="160" w:line="256.7994545454545" w:lineRule="auto"/>
        <w:rPr>
          <w:rFonts w:ascii="Arial" w:cs="Arial" w:eastAsia="Arial" w:hAnsi="Arial"/>
          <w:b w:val="1"/>
          <w:color w:val="000000"/>
        </w:rPr>
      </w:pPr>
      <w:r w:rsidDel="00000000" w:rsidR="00000000" w:rsidRPr="00000000">
        <w:rPr>
          <w:rFonts w:ascii="Arial" w:cs="Arial" w:eastAsia="Arial" w:hAnsi="Arial"/>
          <w:rtl w:val="0"/>
        </w:rPr>
        <w:t xml:space="preserve">As the number of apprenticeships rises every year, it becomes increasingly important that young people have a full understanding of all the options available to them post-16 and post-18 including wider technical education options which are appropriate to our cohort of learners. </w:t>
      </w:r>
      <w:r w:rsidDel="00000000" w:rsidR="00000000" w:rsidRPr="00000000">
        <w:rPr>
          <w:rtl w:val="0"/>
        </w:rPr>
      </w:r>
    </w:p>
    <w:p w:rsidR="00000000" w:rsidDel="00000000" w:rsidP="00000000" w:rsidRDefault="00000000" w:rsidRPr="00000000" w14:paraId="0000001A">
      <w:pPr>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rPr>
          <w:rFonts w:ascii="Arial" w:cs="Arial" w:eastAsia="Arial" w:hAnsi="Arial"/>
          <w:b w:val="1"/>
          <w:color w:val="000000"/>
        </w:rPr>
      </w:pPr>
      <w:r w:rsidDel="00000000" w:rsidR="00000000" w:rsidRPr="00000000">
        <w:rPr>
          <w:rFonts w:ascii="Arial" w:cs="Arial" w:eastAsia="Arial" w:hAnsi="Arial"/>
          <w:b w:val="1"/>
          <w:color w:val="000000"/>
          <w:rtl w:val="0"/>
        </w:rPr>
        <w:t xml:space="preserve">Commitment </w:t>
      </w:r>
    </w:p>
    <w:p w:rsidR="00000000" w:rsidDel="00000000" w:rsidP="00000000" w:rsidRDefault="00000000" w:rsidRPr="00000000" w14:paraId="0000001C">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D">
      <w:pPr>
        <w:rPr>
          <w:rFonts w:ascii="Arial" w:cs="Arial" w:eastAsia="Arial" w:hAnsi="Arial"/>
          <w:color w:val="000000"/>
        </w:rPr>
      </w:pPr>
      <w:bookmarkStart w:colFirst="0" w:colLast="0" w:name="_heading=h.30j0zll" w:id="1"/>
      <w:bookmarkEnd w:id="1"/>
      <w:r w:rsidDel="00000000" w:rsidR="00000000" w:rsidRPr="00000000">
        <w:rPr>
          <w:rFonts w:ascii="Arial" w:cs="Arial" w:eastAsia="Arial" w:hAnsi="Arial"/>
          <w:color w:val="000000"/>
          <w:rtl w:val="0"/>
        </w:rPr>
        <w:t xml:space="preserve">The Iffley Academy</w:t>
      </w:r>
      <w:r w:rsidDel="00000000" w:rsidR="00000000" w:rsidRPr="00000000">
        <w:rPr>
          <w:rFonts w:ascii="Arial" w:cs="Arial" w:eastAsia="Arial" w:hAnsi="Arial"/>
          <w:b w:val="1"/>
          <w:i w:val="1"/>
          <w:color w:val="000000"/>
          <w:rtl w:val="0"/>
        </w:rPr>
        <w:t xml:space="preserve"> </w:t>
      </w:r>
      <w:r w:rsidDel="00000000" w:rsidR="00000000" w:rsidRPr="00000000">
        <w:rPr>
          <w:rFonts w:ascii="Arial" w:cs="Arial" w:eastAsia="Arial" w:hAnsi="Arial"/>
          <w:color w:val="000000"/>
          <w:rtl w:val="0"/>
        </w:rPr>
        <w:t xml:space="preserve">is committed to ensuring there is an opportunity for a range of education and training providers to access students, for the purpose of informing them about approved technical education qualifications and apprenticeships.  The Iffley Academy is fully aware of the responsibility to set students on the path that will secure the best outcome which will enable them to progress in education and work and give </w:t>
      </w:r>
      <w:r w:rsidDel="00000000" w:rsidR="00000000" w:rsidRPr="00000000">
        <w:rPr>
          <w:rFonts w:ascii="Arial" w:cs="Arial" w:eastAsia="Arial" w:hAnsi="Arial"/>
          <w:rtl w:val="0"/>
        </w:rPr>
        <w:t xml:space="preserve">employers highly</w:t>
      </w:r>
      <w:r w:rsidDel="00000000" w:rsidR="00000000" w:rsidRPr="00000000">
        <w:rPr>
          <w:rFonts w:ascii="Arial" w:cs="Arial" w:eastAsia="Arial" w:hAnsi="Arial"/>
          <w:color w:val="000000"/>
          <w:rtl w:val="0"/>
        </w:rPr>
        <w:t xml:space="preserve"> skilled individuals. That means acting impartially, in line with the statutory duty, and not showing bias towards any route, be that academic or technical. </w:t>
      </w:r>
    </w:p>
    <w:p w:rsidR="00000000" w:rsidDel="00000000" w:rsidP="00000000" w:rsidRDefault="00000000" w:rsidRPr="00000000" w14:paraId="0000001E">
      <w:pPr>
        <w:rPr>
          <w:rFonts w:ascii="Arial" w:cs="Arial" w:eastAsia="Arial" w:hAnsi="Arial"/>
          <w:color w:val="000000"/>
        </w:rPr>
      </w:pPr>
      <w:bookmarkStart w:colFirst="0" w:colLast="0" w:name="_heading=h.eyk2y7etckw8" w:id="2"/>
      <w:bookmarkEnd w:id="2"/>
      <w:r w:rsidDel="00000000" w:rsidR="00000000" w:rsidRPr="00000000">
        <w:rPr>
          <w:rFonts w:ascii="Arial" w:cs="Arial" w:eastAsia="Arial" w:hAnsi="Arial"/>
          <w:color w:val="000000"/>
          <w:rtl w:val="0"/>
        </w:rPr>
        <w:t xml:space="preserve">The Iffley Academy endeavors to ensure that all students are aware of all routes and are able to access information on technical options and apprenticeships (The Department of Education, July 2021: “Baker Clause”: supporting students to understand the full range of education and training options, and </w:t>
      </w:r>
      <w:r w:rsidDel="00000000" w:rsidR="00000000" w:rsidRPr="00000000">
        <w:rPr>
          <w:rFonts w:ascii="Arial" w:cs="Arial" w:eastAsia="Arial" w:hAnsi="Arial"/>
          <w:color w:val="000000"/>
          <w:highlight w:val="white"/>
          <w:rtl w:val="0"/>
        </w:rPr>
        <w:t xml:space="preserve">the Provider Access Legislation, January 2023</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F">
      <w:pPr>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rPr>
          <w:rFonts w:ascii="Arial" w:cs="Arial" w:eastAsia="Arial" w:hAnsi="Arial"/>
          <w:b w:val="1"/>
          <w:color w:val="000000"/>
        </w:rPr>
      </w:pPr>
      <w:r w:rsidDel="00000000" w:rsidR="00000000" w:rsidRPr="00000000">
        <w:rPr>
          <w:rFonts w:ascii="Arial" w:cs="Arial" w:eastAsia="Arial" w:hAnsi="Arial"/>
          <w:b w:val="1"/>
          <w:color w:val="000000"/>
          <w:rtl w:val="0"/>
        </w:rPr>
        <w:t xml:space="preserve">Aims </w:t>
      </w:r>
    </w:p>
    <w:p w:rsidR="00000000" w:rsidDel="00000000" w:rsidP="00000000" w:rsidRDefault="00000000" w:rsidRPr="00000000" w14:paraId="00000021">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2">
      <w:pPr>
        <w:rPr>
          <w:rFonts w:ascii="Arial" w:cs="Arial" w:eastAsia="Arial" w:hAnsi="Arial"/>
          <w:color w:val="000000"/>
        </w:rPr>
      </w:pPr>
      <w:r w:rsidDel="00000000" w:rsidR="00000000" w:rsidRPr="00000000">
        <w:rPr>
          <w:rFonts w:ascii="Arial" w:cs="Arial" w:eastAsia="Arial" w:hAnsi="Arial"/>
          <w:color w:val="000000"/>
          <w:rtl w:val="0"/>
        </w:rPr>
        <w:t xml:space="preserve">The Iffley Academy policy for Access to other education and training providers has the following aims: </w:t>
      </w:r>
    </w:p>
    <w:p w:rsidR="00000000" w:rsidDel="00000000" w:rsidP="00000000" w:rsidRDefault="00000000" w:rsidRPr="00000000" w14:paraId="00000023">
      <w:pPr>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To develop the knowledge and awareness of our students of all career pathways available to them, including technical qualifications and apprenticeships. </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To support young people to be able to learn more about opportunities for education and training outside of school before making crucial choices about their future options. </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To reduce drop out from courses and avoid the risk of students becoming NEET (Young people not in education, employment or training).</w:t>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b w:val="1"/>
        </w:rPr>
      </w:pPr>
      <w:r w:rsidDel="00000000" w:rsidR="00000000" w:rsidRPr="00000000">
        <w:rPr>
          <w:rFonts w:ascii="Arial" w:cs="Arial" w:eastAsia="Arial" w:hAnsi="Arial"/>
          <w:b w:val="1"/>
          <w:rtl w:val="0"/>
        </w:rPr>
        <w:t xml:space="preserve">Student Entitlement</w:t>
      </w:r>
    </w:p>
    <w:p w:rsidR="00000000" w:rsidDel="00000000" w:rsidP="00000000" w:rsidRDefault="00000000" w:rsidRPr="00000000" w14:paraId="00000029">
      <w:pPr>
        <w:rPr>
          <w:rFonts w:ascii="Arial" w:cs="Arial" w:eastAsia="Arial" w:hAnsi="Arial"/>
          <w:b w:val="1"/>
        </w:rPr>
      </w:pPr>
      <w:r w:rsidDel="00000000" w:rsidR="00000000" w:rsidRPr="00000000">
        <w:rPr>
          <w:rtl w:val="0"/>
        </w:rPr>
      </w:r>
    </w:p>
    <w:p w:rsidR="00000000" w:rsidDel="00000000" w:rsidP="00000000" w:rsidRDefault="00000000" w:rsidRPr="00000000" w14:paraId="0000002A">
      <w:pPr>
        <w:rPr>
          <w:rFonts w:ascii="Arial" w:cs="Arial" w:eastAsia="Arial" w:hAnsi="Arial"/>
          <w:b w:val="1"/>
        </w:rPr>
      </w:pPr>
      <w:r w:rsidDel="00000000" w:rsidR="00000000" w:rsidRPr="00000000">
        <w:rPr>
          <w:rFonts w:ascii="Arial" w:cs="Arial" w:eastAsia="Arial" w:hAnsi="Arial"/>
          <w:rtl w:val="0"/>
        </w:rPr>
        <w:t xml:space="preserve">The Iffley Academy</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rtl w:val="0"/>
        </w:rPr>
        <w:t xml:space="preserve">fully supports the statutory requirement for students to have direct access to other providers of further education training, technical training and apprenticeships.  The school will </w:t>
      </w:r>
      <w:r w:rsidDel="00000000" w:rsidR="00000000" w:rsidRPr="00000000">
        <w:rPr>
          <w:rFonts w:ascii="Arial" w:cs="Arial" w:eastAsia="Arial" w:hAnsi="Arial"/>
          <w:highlight w:val="white"/>
          <w:rtl w:val="0"/>
        </w:rPr>
        <w:t xml:space="preserve">comply with the new legal requirement to put on at least six encounters with providers of approved technical education qualifications or apprenticeships where appropriate. </w:t>
      </w:r>
      <w:r w:rsidDel="00000000" w:rsidR="00000000" w:rsidRPr="00000000">
        <w:rPr>
          <w:rFonts w:ascii="Arial" w:cs="Arial" w:eastAsia="Arial" w:hAnsi="Arial"/>
          <w:rtl w:val="0"/>
        </w:rPr>
        <w:t xml:space="preserve">This will be done in assemblies in National Apprenticeship Week and National Careers Week, in addition to providers attending careers events as part of the SEND community</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Students are entitled t</w:t>
      </w:r>
      <w:r w:rsidDel="00000000" w:rsidR="00000000" w:rsidRPr="00000000">
        <w:rPr>
          <w:rFonts w:ascii="Arial" w:cs="Arial" w:eastAsia="Arial" w:hAnsi="Arial"/>
          <w:rtl w:val="0"/>
        </w:rPr>
        <w:t xml:space="preserve">o:</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Find out about technical education qualifications and apprenticeship opportunities, as part of a careers programme which provides information on a full range of education and training options available to them at each transition point. </w:t>
      </w:r>
    </w:p>
    <w:p w:rsidR="00000000" w:rsidDel="00000000" w:rsidP="00000000" w:rsidRDefault="00000000" w:rsidRPr="00000000" w14:paraId="0000002F">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Hear from a range of local providers about the opportunities they offer, including technical education and apprenticeships – through Annual Reviews of Education and Care plans, assemblies, taster events, e.g. in-house vocational workshops in hospitality and group discussions within lessons.</w:t>
      </w:r>
    </w:p>
    <w:p w:rsidR="00000000" w:rsidDel="00000000" w:rsidP="00000000" w:rsidRDefault="00000000" w:rsidRPr="00000000" w14:paraId="0000003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Understand how to make applications for a range of academic and technical courses appropriate to them and their SEND. </w:t>
      </w:r>
    </w:p>
    <w:p w:rsidR="00000000" w:rsidDel="00000000" w:rsidP="00000000" w:rsidRDefault="00000000" w:rsidRPr="00000000" w14:paraId="00000031">
      <w:pPr>
        <w:rPr>
          <w:rFonts w:ascii="Arial" w:cs="Arial" w:eastAsia="Arial" w:hAnsi="Arial"/>
          <w:color w:val="000000"/>
        </w:rPr>
      </w:pPr>
      <w:r w:rsidDel="00000000" w:rsidR="00000000" w:rsidRPr="00000000">
        <w:rPr>
          <w:rtl w:val="0"/>
        </w:rPr>
      </w:r>
    </w:p>
    <w:p w:rsidR="00000000" w:rsidDel="00000000" w:rsidP="00000000" w:rsidRDefault="00000000" w:rsidRPr="00000000" w14:paraId="00000032">
      <w:pP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33">
      <w:pPr>
        <w:rPr>
          <w:rFonts w:ascii="Arial" w:cs="Arial" w:eastAsia="Arial" w:hAnsi="Arial"/>
          <w:b w:val="1"/>
          <w:color w:val="000000"/>
        </w:rPr>
      </w:pPr>
      <w:r w:rsidDel="00000000" w:rsidR="00000000" w:rsidRPr="00000000">
        <w:rPr>
          <w:rFonts w:ascii="Arial" w:cs="Arial" w:eastAsia="Arial" w:hAnsi="Arial"/>
          <w:b w:val="1"/>
          <w:color w:val="000000"/>
          <w:rtl w:val="0"/>
        </w:rPr>
        <w:t xml:space="preserve">Equality and Diversity </w:t>
      </w:r>
    </w:p>
    <w:p w:rsidR="00000000" w:rsidDel="00000000" w:rsidP="00000000" w:rsidRDefault="00000000" w:rsidRPr="00000000" w14:paraId="00000034">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5">
      <w:pPr>
        <w:rPr>
          <w:rFonts w:ascii="Arial" w:cs="Arial" w:eastAsia="Arial" w:hAnsi="Arial"/>
          <w:color w:val="000000"/>
        </w:rPr>
      </w:pPr>
      <w:r w:rsidDel="00000000" w:rsidR="00000000" w:rsidRPr="00000000">
        <w:rPr>
          <w:rFonts w:ascii="Arial" w:cs="Arial" w:eastAsia="Arial" w:hAnsi="Arial"/>
          <w:color w:val="000000"/>
          <w:rtl w:val="0"/>
        </w:rPr>
        <w:t xml:space="preserve">Access to other providers is available and promoted to allow all students to access information about other providers of further education and apprenticeships. The Iffley Academy is committed to encouraging all students to make decisions about their future based on impartial information, whilst also considering what is relevant for pupils with SEND.</w:t>
      </w:r>
    </w:p>
    <w:p w:rsidR="00000000" w:rsidDel="00000000" w:rsidP="00000000" w:rsidRDefault="00000000" w:rsidRPr="00000000" w14:paraId="00000036">
      <w:pPr>
        <w:rPr>
          <w:rFonts w:ascii="Arial" w:cs="Arial" w:eastAsia="Arial" w:hAnsi="Arial"/>
          <w:color w:val="000000"/>
        </w:rPr>
      </w:pPr>
      <w:r w:rsidDel="00000000" w:rsidR="00000000" w:rsidRPr="00000000">
        <w:rPr>
          <w:rtl w:val="0"/>
        </w:rPr>
      </w:r>
    </w:p>
    <w:p w:rsidR="00000000" w:rsidDel="00000000" w:rsidP="00000000" w:rsidRDefault="00000000" w:rsidRPr="00000000" w14:paraId="00000037">
      <w:pPr>
        <w:rPr>
          <w:rFonts w:ascii="Arial" w:cs="Arial" w:eastAsia="Arial" w:hAnsi="Arial"/>
          <w:b w:val="1"/>
          <w:color w:val="000000"/>
        </w:rPr>
      </w:pPr>
      <w:r w:rsidDel="00000000" w:rsidR="00000000" w:rsidRPr="00000000">
        <w:rPr>
          <w:rFonts w:ascii="Arial" w:cs="Arial" w:eastAsia="Arial" w:hAnsi="Arial"/>
          <w:b w:val="1"/>
          <w:rtl w:val="0"/>
        </w:rPr>
        <w:t xml:space="preserve">Requests</w:t>
      </w:r>
      <w:r w:rsidDel="00000000" w:rsidR="00000000" w:rsidRPr="00000000">
        <w:rPr>
          <w:rFonts w:ascii="Arial" w:cs="Arial" w:eastAsia="Arial" w:hAnsi="Arial"/>
          <w:b w:val="1"/>
          <w:color w:val="000000"/>
          <w:rtl w:val="0"/>
        </w:rPr>
        <w:t xml:space="preserve"> for access</w:t>
      </w:r>
    </w:p>
    <w:p w:rsidR="00000000" w:rsidDel="00000000" w:rsidP="00000000" w:rsidRDefault="00000000" w:rsidRPr="00000000" w14:paraId="00000038">
      <w:pPr>
        <w:rPr>
          <w:rFonts w:ascii="Arial" w:cs="Arial" w:eastAsia="Arial" w:hAnsi="Arial"/>
          <w:color w:val="000000"/>
        </w:rPr>
      </w:pPr>
      <w:r w:rsidDel="00000000" w:rsidR="00000000" w:rsidRPr="00000000">
        <w:rPr>
          <w:rtl w:val="0"/>
        </w:rPr>
      </w:r>
    </w:p>
    <w:p w:rsidR="00000000" w:rsidDel="00000000" w:rsidP="00000000" w:rsidRDefault="00000000" w:rsidRPr="00000000" w14:paraId="00000039">
      <w:pPr>
        <w:rPr>
          <w:rFonts w:ascii="Arial" w:cs="Arial" w:eastAsia="Arial" w:hAnsi="Arial"/>
          <w:color w:val="000000"/>
        </w:rPr>
      </w:pPr>
      <w:r w:rsidDel="00000000" w:rsidR="00000000" w:rsidRPr="00000000">
        <w:rPr>
          <w:rFonts w:ascii="Arial" w:cs="Arial" w:eastAsia="Arial" w:hAnsi="Arial"/>
          <w:color w:val="000000"/>
          <w:rtl w:val="0"/>
        </w:rPr>
        <w:t xml:space="preserve">Where appropriate, we offer providers the opportunity to speak with students and/or their parents, usually during an Annual Review meeting or during assemblies. Providers are welcome to leave a copy of their prospectus and other relevant course literature in reception, for initial attention of Debbie Nicholas, Careers Leader. Providers are also invited into school to support with assemblies or class-based discussions about careers, future educational placements, apprenticeships, etc. The Careers Leader or Careers Adviser will organise this, working closely with the provider to ensure the facilities are appropriate to the audience.  Appropriate safeguarding checks will be carried out.  Providers will be met and supervised by the careers leader who will facilitate.</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Contact to the Careers Advisor can be made by contacted:</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Debbie Nicholas: 01865 747606</w:t>
      </w:r>
    </w:p>
    <w:p w:rsidR="00000000" w:rsidDel="00000000" w:rsidP="00000000" w:rsidRDefault="00000000" w:rsidRPr="00000000" w14:paraId="0000003D">
      <w:pPr>
        <w:rPr>
          <w:rFonts w:ascii="Arial" w:cs="Arial" w:eastAsia="Arial" w:hAnsi="Arial"/>
        </w:rPr>
      </w:pPr>
      <w:hyperlink r:id="rId8">
        <w:r w:rsidDel="00000000" w:rsidR="00000000" w:rsidRPr="00000000">
          <w:rPr>
            <w:rFonts w:ascii="Arial" w:cs="Arial" w:eastAsia="Arial" w:hAnsi="Arial"/>
            <w:color w:val="1155cc"/>
            <w:u w:val="single"/>
            <w:rtl w:val="0"/>
          </w:rPr>
          <w:t xml:space="preserve">d.nicholas@iffleyacademy.co.uk</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E">
      <w:pPr>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rPr>
          <w:rFonts w:ascii="Arial" w:cs="Arial" w:eastAsia="Arial" w:hAnsi="Arial"/>
          <w:color w:val="000000"/>
        </w:rPr>
      </w:pPr>
      <w:r w:rsidDel="00000000" w:rsidR="00000000" w:rsidRPr="00000000">
        <w:rPr>
          <w:rtl w:val="0"/>
        </w:rPr>
      </w:r>
    </w:p>
    <w:p w:rsidR="00000000" w:rsidDel="00000000" w:rsidP="00000000" w:rsidRDefault="00000000" w:rsidRPr="00000000" w14:paraId="00000040">
      <w:pPr>
        <w:rPr>
          <w:rFonts w:ascii="Arial" w:cs="Arial" w:eastAsia="Arial" w:hAnsi="Arial"/>
          <w:b w:val="1"/>
          <w:color w:val="000000"/>
        </w:rPr>
      </w:pPr>
      <w:r w:rsidDel="00000000" w:rsidR="00000000" w:rsidRPr="00000000">
        <w:rPr>
          <w:rFonts w:ascii="Arial" w:cs="Arial" w:eastAsia="Arial" w:hAnsi="Arial"/>
          <w:b w:val="1"/>
          <w:color w:val="000000"/>
          <w:rtl w:val="0"/>
        </w:rPr>
        <w:t xml:space="preserve">Guidelines for granting and refusing access</w:t>
      </w:r>
    </w:p>
    <w:p w:rsidR="00000000" w:rsidDel="00000000" w:rsidP="00000000" w:rsidRDefault="00000000" w:rsidRPr="00000000" w14:paraId="00000041">
      <w:pPr>
        <w:rPr>
          <w:rFonts w:ascii="Arial" w:cs="Arial" w:eastAsia="Arial" w:hAnsi="Arial"/>
          <w:color w:val="000000"/>
        </w:rPr>
      </w:pPr>
      <w:r w:rsidDel="00000000" w:rsidR="00000000" w:rsidRPr="00000000">
        <w:rPr>
          <w:rtl w:val="0"/>
        </w:rPr>
      </w:r>
    </w:p>
    <w:p w:rsidR="00000000" w:rsidDel="00000000" w:rsidP="00000000" w:rsidRDefault="00000000" w:rsidRPr="00000000" w14:paraId="00000042">
      <w:pPr>
        <w:rPr>
          <w:rFonts w:ascii="Arial" w:cs="Arial" w:eastAsia="Arial" w:hAnsi="Arial"/>
          <w:color w:val="000000"/>
        </w:rPr>
      </w:pPr>
      <w:r w:rsidDel="00000000" w:rsidR="00000000" w:rsidRPr="00000000">
        <w:rPr>
          <w:rFonts w:ascii="Arial" w:cs="Arial" w:eastAsia="Arial" w:hAnsi="Arial"/>
          <w:color w:val="000000"/>
          <w:rtl w:val="0"/>
        </w:rPr>
        <w:t xml:space="preserve">The Iffley Academy will grant access requests that meet the following criteria:</w:t>
      </w:r>
    </w:p>
    <w:p w:rsidR="00000000" w:rsidDel="00000000" w:rsidP="00000000" w:rsidRDefault="00000000" w:rsidRPr="00000000" w14:paraId="00000043">
      <w:pPr>
        <w:rPr>
          <w:rFonts w:ascii="Arial" w:cs="Arial" w:eastAsia="Arial" w:hAnsi="Arial"/>
          <w:color w:val="00000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provider has detailed knowledge of the nature of the SEND of the SEND of The Iffley Academy students</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provider can offer appropriate pathways for the students, on both an academic and pastoral level.</w:t>
      </w:r>
    </w:p>
    <w:p w:rsidR="00000000" w:rsidDel="00000000" w:rsidP="00000000" w:rsidRDefault="00000000" w:rsidRPr="00000000" w14:paraId="00000046">
      <w:pPr>
        <w:rPr>
          <w:rFonts w:ascii="Arial" w:cs="Arial" w:eastAsia="Arial" w:hAnsi="Arial"/>
          <w:color w:val="000000"/>
        </w:rPr>
      </w:pPr>
      <w:r w:rsidDel="00000000" w:rsidR="00000000" w:rsidRPr="00000000">
        <w:rPr>
          <w:rtl w:val="0"/>
        </w:rPr>
      </w:r>
    </w:p>
    <w:p w:rsidR="00000000" w:rsidDel="00000000" w:rsidP="00000000" w:rsidRDefault="00000000" w:rsidRPr="00000000" w14:paraId="00000047">
      <w:pPr>
        <w:rPr>
          <w:rFonts w:ascii="Arial" w:cs="Arial" w:eastAsia="Arial" w:hAnsi="Arial"/>
          <w:color w:val="000000"/>
        </w:rPr>
      </w:pPr>
      <w:r w:rsidDel="00000000" w:rsidR="00000000" w:rsidRPr="00000000">
        <w:rPr>
          <w:rFonts w:ascii="Arial" w:cs="Arial" w:eastAsia="Arial" w:hAnsi="Arial"/>
          <w:color w:val="000000"/>
          <w:rtl w:val="0"/>
        </w:rPr>
        <w:t xml:space="preserve">The Iffley Academy will refuse any access requests that:</w:t>
      </w:r>
    </w:p>
    <w:p w:rsidR="00000000" w:rsidDel="00000000" w:rsidP="00000000" w:rsidRDefault="00000000" w:rsidRPr="00000000" w14:paraId="00000048">
      <w:pPr>
        <w:rPr>
          <w:rFonts w:ascii="Arial" w:cs="Arial" w:eastAsia="Arial" w:hAnsi="Arial"/>
          <w:color w:val="00000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academy believes is not in the best interests of the students </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Does not meet the educational requirements of the students e.g. the provider offers unrealistic academic qualifications, e.g. A Levels </w:t>
      </w:r>
    </w:p>
    <w:p w:rsidR="00000000" w:rsidDel="00000000" w:rsidP="00000000" w:rsidRDefault="00000000" w:rsidRPr="00000000" w14:paraId="0000004B">
      <w:pPr>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rPr>
          <w:rFonts w:ascii="Arial" w:cs="Arial" w:eastAsia="Arial" w:hAnsi="Arial"/>
          <w:b w:val="1"/>
          <w:color w:val="000000"/>
        </w:rPr>
      </w:pPr>
      <w:r w:rsidDel="00000000" w:rsidR="00000000" w:rsidRPr="00000000">
        <w:rPr>
          <w:rFonts w:ascii="Arial" w:cs="Arial" w:eastAsia="Arial" w:hAnsi="Arial"/>
          <w:b w:val="1"/>
          <w:color w:val="000000"/>
          <w:rtl w:val="0"/>
        </w:rPr>
        <w:t xml:space="preserve">Premises and facilities </w:t>
      </w:r>
    </w:p>
    <w:p w:rsidR="00000000" w:rsidDel="00000000" w:rsidP="00000000" w:rsidRDefault="00000000" w:rsidRPr="00000000" w14:paraId="0000004D">
      <w:pPr>
        <w:rPr>
          <w:rFonts w:ascii="Arial" w:cs="Arial" w:eastAsia="Arial" w:hAnsi="Arial"/>
          <w:color w:val="000000"/>
        </w:rPr>
      </w:pPr>
      <w:r w:rsidDel="00000000" w:rsidR="00000000" w:rsidRPr="00000000">
        <w:rPr>
          <w:rtl w:val="0"/>
        </w:rPr>
      </w:r>
    </w:p>
    <w:p w:rsidR="00000000" w:rsidDel="00000000" w:rsidP="00000000" w:rsidRDefault="00000000" w:rsidRPr="00000000" w14:paraId="0000004E">
      <w:pPr>
        <w:rPr>
          <w:rFonts w:ascii="Arial" w:cs="Arial" w:eastAsia="Arial" w:hAnsi="Arial"/>
          <w:color w:val="000000"/>
        </w:rPr>
      </w:pPr>
      <w:r w:rsidDel="00000000" w:rsidR="00000000" w:rsidRPr="00000000">
        <w:rPr>
          <w:rFonts w:ascii="Arial" w:cs="Arial" w:eastAsia="Arial" w:hAnsi="Arial"/>
          <w:color w:val="000000"/>
          <w:rtl w:val="0"/>
        </w:rPr>
        <w:t xml:space="preserve">Once the provider has been approved, the Academy will work with them to identify the best method for providing access to the students.</w:t>
      </w:r>
    </w:p>
    <w:p w:rsidR="00000000" w:rsidDel="00000000" w:rsidP="00000000" w:rsidRDefault="00000000" w:rsidRPr="00000000" w14:paraId="0000004F">
      <w:pPr>
        <w:rPr>
          <w:rFonts w:ascii="Arial" w:cs="Arial" w:eastAsia="Arial" w:hAnsi="Arial"/>
          <w:color w:val="000000"/>
        </w:rPr>
      </w:pPr>
      <w:r w:rsidDel="00000000" w:rsidR="00000000" w:rsidRPr="00000000">
        <w:rPr>
          <w:rFonts w:ascii="Arial" w:cs="Arial" w:eastAsia="Arial" w:hAnsi="Arial"/>
          <w:color w:val="000000"/>
          <w:rtl w:val="0"/>
        </w:rPr>
        <w:t xml:space="preserve">The academy will make the hall, classrooms or meeting rooms available for discussions between the provider and students, as appropriate to the activity. This will all be discussed and agreed in advance of the visit with the Careers Leader, Key Stage/Gallery Lead or member of the Senior Leadership Team. </w:t>
      </w:r>
    </w:p>
    <w:p w:rsidR="00000000" w:rsidDel="00000000" w:rsidP="00000000" w:rsidRDefault="00000000" w:rsidRPr="00000000" w14:paraId="00000050">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1">
      <w:pPr>
        <w:rPr>
          <w:rFonts w:ascii="Arial" w:cs="Arial" w:eastAsia="Arial" w:hAnsi="Arial"/>
          <w:b w:val="1"/>
          <w:color w:val="000000"/>
        </w:rPr>
      </w:pPr>
      <w:r w:rsidDel="00000000" w:rsidR="00000000" w:rsidRPr="00000000">
        <w:rPr>
          <w:rFonts w:ascii="Arial" w:cs="Arial" w:eastAsia="Arial" w:hAnsi="Arial"/>
          <w:b w:val="1"/>
          <w:color w:val="000000"/>
          <w:rtl w:val="0"/>
        </w:rPr>
        <w:t xml:space="preserve">Management of provider access requests</w:t>
      </w:r>
    </w:p>
    <w:p w:rsidR="00000000" w:rsidDel="00000000" w:rsidP="00000000" w:rsidRDefault="00000000" w:rsidRPr="00000000" w14:paraId="00000052">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3">
      <w:pPr>
        <w:rPr>
          <w:rFonts w:ascii="Arial" w:cs="Arial" w:eastAsia="Arial" w:hAnsi="Arial"/>
          <w:b w:val="1"/>
          <w:color w:val="000000"/>
        </w:rPr>
      </w:pPr>
      <w:r w:rsidDel="00000000" w:rsidR="00000000" w:rsidRPr="00000000">
        <w:rPr>
          <w:rFonts w:ascii="Arial" w:cs="Arial" w:eastAsia="Arial" w:hAnsi="Arial"/>
          <w:b w:val="1"/>
          <w:color w:val="000000"/>
          <w:rtl w:val="0"/>
        </w:rPr>
        <w:t xml:space="preserve">Procedure</w:t>
      </w:r>
    </w:p>
    <w:p w:rsidR="00000000" w:rsidDel="00000000" w:rsidP="00000000" w:rsidRDefault="00000000" w:rsidRPr="00000000" w14:paraId="00000054">
      <w:pPr>
        <w:rPr>
          <w:rFonts w:ascii="Arial" w:cs="Arial" w:eastAsia="Arial" w:hAnsi="Arial"/>
          <w:color w:val="000000"/>
        </w:rPr>
      </w:pPr>
      <w:r w:rsidDel="00000000" w:rsidR="00000000" w:rsidRPr="00000000">
        <w:rPr>
          <w:rtl w:val="0"/>
        </w:rPr>
      </w:r>
    </w:p>
    <w:p w:rsidR="00000000" w:rsidDel="00000000" w:rsidP="00000000" w:rsidRDefault="00000000" w:rsidRPr="00000000" w14:paraId="00000055">
      <w:pPr>
        <w:rPr>
          <w:rFonts w:ascii="Arial" w:cs="Arial" w:eastAsia="Arial" w:hAnsi="Arial"/>
          <w:color w:val="000000"/>
        </w:rPr>
      </w:pPr>
      <w:r w:rsidDel="00000000" w:rsidR="00000000" w:rsidRPr="00000000">
        <w:rPr>
          <w:rFonts w:ascii="Arial" w:cs="Arial" w:eastAsia="Arial" w:hAnsi="Arial"/>
          <w:color w:val="000000"/>
          <w:rtl w:val="0"/>
        </w:rPr>
        <w:t xml:space="preserve">A provider wishing to request access should contact: Debbie Nicholas, Careers Leader, on 01865 747606 or emailing </w:t>
      </w:r>
      <w:hyperlink r:id="rId9">
        <w:r w:rsidDel="00000000" w:rsidR="00000000" w:rsidRPr="00000000">
          <w:rPr>
            <w:rFonts w:ascii="Arial" w:cs="Arial" w:eastAsia="Arial" w:hAnsi="Arial"/>
            <w:color w:val="000000"/>
            <w:u w:val="single"/>
            <w:rtl w:val="0"/>
          </w:rPr>
          <w:t xml:space="preserve">d.nicholas@iffleyacademy.co.uk</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b w:val="1"/>
        </w:rPr>
      </w:pPr>
      <w:r w:rsidDel="00000000" w:rsidR="00000000" w:rsidRPr="00000000">
        <w:rPr>
          <w:rFonts w:ascii="Arial" w:cs="Arial" w:eastAsia="Arial" w:hAnsi="Arial"/>
          <w:b w:val="1"/>
          <w:rtl w:val="0"/>
        </w:rPr>
        <w:t xml:space="preserve">Development </w:t>
      </w:r>
    </w:p>
    <w:p w:rsidR="00000000" w:rsidDel="00000000" w:rsidP="00000000" w:rsidRDefault="00000000" w:rsidRPr="00000000" w14:paraId="00000058">
      <w:pPr>
        <w:rPr>
          <w:rFonts w:ascii="Arial" w:cs="Arial" w:eastAsia="Arial" w:hAnsi="Arial"/>
          <w:b w:val="1"/>
        </w:rPr>
      </w:pP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This policy has been developed and is reviewed annually by the Careers Leader (Debbie Nicholas) and Head Teacher (Yvette Faye) based on current good practice guidelines by the Department for Education.</w:t>
      </w:r>
    </w:p>
    <w:p w:rsidR="00000000" w:rsidDel="00000000" w:rsidP="00000000" w:rsidRDefault="00000000" w:rsidRPr="00000000" w14:paraId="0000005A">
      <w:pPr>
        <w:rPr>
          <w:rFonts w:ascii="Arial" w:cs="Arial" w:eastAsia="Arial" w:hAnsi="Arial"/>
          <w:color w:val="000000"/>
        </w:rPr>
      </w:pPr>
      <w:r w:rsidDel="00000000" w:rsidR="00000000" w:rsidRPr="00000000">
        <w:rPr>
          <w:rtl w:val="0"/>
        </w:rPr>
      </w:r>
    </w:p>
    <w:p w:rsidR="00000000" w:rsidDel="00000000" w:rsidP="00000000" w:rsidRDefault="00000000" w:rsidRPr="00000000" w14:paraId="0000005B">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Safeguarding</w:t>
      </w:r>
    </w:p>
    <w:p w:rsidR="00000000" w:rsidDel="00000000" w:rsidP="00000000" w:rsidRDefault="00000000" w:rsidRPr="00000000" w14:paraId="0000005C">
      <w:pPr>
        <w:rPr>
          <w:rFonts w:ascii="Arial" w:cs="Arial" w:eastAsia="Arial" w:hAnsi="Arial"/>
          <w:color w:val="000000"/>
        </w:rPr>
      </w:pPr>
      <w:r w:rsidDel="00000000" w:rsidR="00000000" w:rsidRPr="00000000">
        <w:rPr>
          <w:rtl w:val="0"/>
        </w:rPr>
      </w:r>
    </w:p>
    <w:p w:rsidR="00000000" w:rsidDel="00000000" w:rsidP="00000000" w:rsidRDefault="00000000" w:rsidRPr="00000000" w14:paraId="0000005D">
      <w:pPr>
        <w:rPr>
          <w:rFonts w:ascii="Arial" w:cs="Arial" w:eastAsia="Arial" w:hAnsi="Arial"/>
          <w:color w:val="000000"/>
        </w:rPr>
      </w:pPr>
      <w:r w:rsidDel="00000000" w:rsidR="00000000" w:rsidRPr="00000000">
        <w:rPr>
          <w:rFonts w:ascii="Arial" w:cs="Arial" w:eastAsia="Arial" w:hAnsi="Arial"/>
          <w:color w:val="000000"/>
          <w:rtl w:val="0"/>
        </w:rPr>
        <w:t xml:space="preserve">The Iffley Academy’s Child Protection and safeguarding policies outline the academy’s approach for welcoming providers into school to speak with the students.</w:t>
      </w:r>
    </w:p>
    <w:p w:rsidR="00000000" w:rsidDel="00000000" w:rsidP="00000000" w:rsidRDefault="00000000" w:rsidRPr="00000000" w14:paraId="0000005E">
      <w:pPr>
        <w:rPr>
          <w:rFonts w:ascii="Arial" w:cs="Arial" w:eastAsia="Arial" w:hAnsi="Arial"/>
          <w:color w:val="000000"/>
        </w:rPr>
      </w:pPr>
      <w:r w:rsidDel="00000000" w:rsidR="00000000" w:rsidRPr="00000000">
        <w:rPr>
          <w:rtl w:val="0"/>
        </w:rPr>
      </w:r>
    </w:p>
    <w:p w:rsidR="00000000" w:rsidDel="00000000" w:rsidP="00000000" w:rsidRDefault="00000000" w:rsidRPr="00000000" w14:paraId="0000005F">
      <w:pPr>
        <w:rPr>
          <w:rFonts w:ascii="Arial" w:cs="Arial" w:eastAsia="Arial" w:hAnsi="Arial"/>
          <w:color w:val="000000"/>
        </w:rPr>
      </w:pPr>
      <w:r w:rsidDel="00000000" w:rsidR="00000000" w:rsidRPr="00000000">
        <w:rPr>
          <w:rFonts w:ascii="Arial" w:cs="Arial" w:eastAsia="Arial" w:hAnsi="Arial"/>
          <w:color w:val="000000"/>
          <w:rtl w:val="0"/>
        </w:rPr>
        <w:t xml:space="preserve">The following policies support this policy</w:t>
      </w:r>
    </w:p>
    <w:p w:rsidR="00000000" w:rsidDel="00000000" w:rsidP="00000000" w:rsidRDefault="00000000" w:rsidRPr="00000000" w14:paraId="00000060">
      <w:pPr>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Vocational Learning Policy</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CEIAG Policy </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 Protection </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Equality and Diversity, and SEND.</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rPr>
          <w:rFonts w:ascii="Arial" w:cs="Arial" w:eastAsia="Arial" w:hAnsi="Arial"/>
          <w:b w:val="1"/>
          <w:color w:val="000000"/>
        </w:rPr>
      </w:pPr>
      <w:r w:rsidDel="00000000" w:rsidR="00000000" w:rsidRPr="00000000">
        <w:rPr>
          <w:rFonts w:ascii="Arial" w:cs="Arial" w:eastAsia="Arial" w:hAnsi="Arial"/>
          <w:b w:val="1"/>
          <w:color w:val="000000"/>
          <w:rtl w:val="0"/>
        </w:rPr>
        <w:t xml:space="preserve">Monitoring review and evaluation </w:t>
      </w:r>
    </w:p>
    <w:p w:rsidR="00000000" w:rsidDel="00000000" w:rsidP="00000000" w:rsidRDefault="00000000" w:rsidRPr="00000000" w14:paraId="00000067">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8">
      <w:pPr>
        <w:rPr>
          <w:rFonts w:ascii="Arial" w:cs="Arial" w:eastAsia="Arial" w:hAnsi="Arial"/>
          <w:b w:val="1"/>
          <w:color w:val="000000"/>
        </w:rPr>
      </w:pPr>
      <w:r w:rsidDel="00000000" w:rsidR="00000000" w:rsidRPr="00000000">
        <w:rPr>
          <w:rFonts w:ascii="Arial" w:cs="Arial" w:eastAsia="Arial" w:hAnsi="Arial"/>
          <w:color w:val="000000"/>
          <w:rtl w:val="0"/>
        </w:rPr>
        <w:t xml:space="preserve">The Policy is monitored and evaluated annually through the Careers Leader.</w:t>
      </w:r>
      <w:r w:rsidDel="00000000" w:rsidR="00000000" w:rsidRPr="00000000">
        <w:rPr>
          <w:rtl w:val="0"/>
        </w:rPr>
      </w:r>
    </w:p>
    <w:p w:rsidR="00000000" w:rsidDel="00000000" w:rsidP="00000000" w:rsidRDefault="00000000" w:rsidRPr="00000000" w14:paraId="00000069">
      <w:pPr>
        <w:rPr>
          <w:rFonts w:ascii="Arial" w:cs="Arial" w:eastAsia="Arial" w:hAnsi="Arial"/>
          <w:color w:val="000000"/>
        </w:rPr>
      </w:pPr>
      <w:r w:rsidDel="00000000" w:rsidR="00000000" w:rsidRPr="00000000">
        <w:rPr>
          <w:rtl w:val="0"/>
        </w:rPr>
      </w:r>
    </w:p>
    <w:p w:rsidR="00000000" w:rsidDel="00000000" w:rsidP="00000000" w:rsidRDefault="00000000" w:rsidRPr="00000000" w14:paraId="0000006A">
      <w:pPr>
        <w:rPr>
          <w:rFonts w:ascii="Arial" w:cs="Arial" w:eastAsia="Arial" w:hAnsi="Arial"/>
          <w:b w:val="1"/>
          <w:color w:val="000000"/>
        </w:rPr>
      </w:pPr>
      <w:r w:rsidDel="00000000" w:rsidR="00000000" w:rsidRPr="00000000">
        <w:rPr>
          <w:rFonts w:ascii="Arial" w:cs="Arial" w:eastAsia="Arial" w:hAnsi="Arial"/>
          <w:b w:val="1"/>
          <w:color w:val="000000"/>
          <w:rtl w:val="0"/>
        </w:rPr>
        <w:t xml:space="preserve">Bibliography </w:t>
      </w:r>
    </w:p>
    <w:p w:rsidR="00000000" w:rsidDel="00000000" w:rsidP="00000000" w:rsidRDefault="00000000" w:rsidRPr="00000000" w14:paraId="0000006B">
      <w:pPr>
        <w:rPr>
          <w:rFonts w:ascii="Arial" w:cs="Arial" w:eastAsia="Arial" w:hAnsi="Arial"/>
          <w:color w:val="000000"/>
        </w:rPr>
      </w:pPr>
      <w:r w:rsidDel="00000000" w:rsidR="00000000" w:rsidRPr="00000000">
        <w:rPr>
          <w:rtl w:val="0"/>
        </w:rPr>
      </w:r>
    </w:p>
    <w:p w:rsidR="00000000" w:rsidDel="00000000" w:rsidP="00000000" w:rsidRDefault="00000000" w:rsidRPr="00000000" w14:paraId="0000006C">
      <w:pPr>
        <w:rPr>
          <w:rFonts w:ascii="Arial" w:cs="Arial" w:eastAsia="Arial" w:hAnsi="Arial"/>
          <w:color w:val="000000"/>
        </w:rPr>
      </w:pPr>
      <w:r w:rsidDel="00000000" w:rsidR="00000000" w:rsidRPr="00000000">
        <w:rPr>
          <w:rFonts w:ascii="Arial" w:cs="Arial" w:eastAsia="Arial" w:hAnsi="Arial"/>
          <w:color w:val="000000"/>
          <w:rtl w:val="0"/>
        </w:rPr>
        <w:t xml:space="preserve">DfE (2017) ‘Technical Education and apprenticeships: raising awareness in schools’. </w:t>
      </w:r>
    </w:p>
    <w:p w:rsidR="00000000" w:rsidDel="00000000" w:rsidP="00000000" w:rsidRDefault="00000000" w:rsidRPr="00000000" w14:paraId="0000006D">
      <w:pPr>
        <w:rPr>
          <w:rFonts w:ascii="Arial" w:cs="Arial" w:eastAsia="Arial" w:hAnsi="Arial"/>
          <w:color w:val="000000"/>
        </w:rPr>
      </w:pPr>
      <w:hyperlink r:id="rId10">
        <w:r w:rsidDel="00000000" w:rsidR="00000000" w:rsidRPr="00000000">
          <w:rPr>
            <w:rFonts w:ascii="Arial" w:cs="Arial" w:eastAsia="Arial" w:hAnsi="Arial"/>
            <w:color w:val="000000"/>
            <w:u w:val="single"/>
            <w:rtl w:val="0"/>
          </w:rPr>
          <w:t xml:space="preserve">https://www.gov.uk/government/publications/careers-guidance-provision-for-young-people-in-schools</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E">
      <w:pPr>
        <w:ind w:right="-14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F">
      <w:pPr>
        <w:rPr>
          <w:rFonts w:ascii="Arial" w:cs="Arial" w:eastAsia="Arial" w:hAnsi="Arial"/>
          <w:b w:val="1"/>
          <w:color w:val="000000"/>
        </w:rPr>
      </w:pPr>
      <w:r w:rsidDel="00000000" w:rsidR="00000000" w:rsidRPr="00000000">
        <w:rPr>
          <w:rFonts w:ascii="Arial" w:cs="Arial" w:eastAsia="Arial" w:hAnsi="Arial"/>
          <w:b w:val="1"/>
          <w:color w:val="000000"/>
          <w:u w:val="single"/>
          <w:rtl w:val="0"/>
        </w:rPr>
        <w:t xml:space="preserve">Appendix</w:t>
      </w:r>
      <w:r w:rsidDel="00000000" w:rsidR="00000000" w:rsidRPr="00000000">
        <w:rPr>
          <w:rFonts w:ascii="Arial" w:cs="Arial" w:eastAsia="Arial" w:hAnsi="Arial"/>
          <w:b w:val="1"/>
          <w:color w:val="000000"/>
          <w:rtl w:val="0"/>
        </w:rPr>
        <w:t xml:space="preserve"> </w:t>
      </w:r>
    </w:p>
    <w:p w:rsidR="00000000" w:rsidDel="00000000" w:rsidP="00000000" w:rsidRDefault="00000000" w:rsidRPr="00000000" w14:paraId="00000070">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1">
      <w:pPr>
        <w:rPr>
          <w:rFonts w:ascii="Arial" w:cs="Arial" w:eastAsia="Arial" w:hAnsi="Arial"/>
          <w:b w:val="1"/>
          <w:color w:val="000000"/>
        </w:rPr>
      </w:pPr>
      <w:r w:rsidDel="00000000" w:rsidR="00000000" w:rsidRPr="00000000">
        <w:rPr>
          <w:rFonts w:ascii="Arial" w:cs="Arial" w:eastAsia="Arial" w:hAnsi="Arial"/>
          <w:b w:val="1"/>
          <w:color w:val="000000"/>
          <w:rtl w:val="0"/>
        </w:rPr>
        <w:t xml:space="preserve">Providers who have been invited into The Iffley</w:t>
      </w:r>
      <w:r w:rsidDel="00000000" w:rsidR="00000000" w:rsidRPr="00000000">
        <w:rPr>
          <w:rFonts w:ascii="Arial" w:cs="Arial" w:eastAsia="Arial" w:hAnsi="Arial"/>
          <w:b w:val="1"/>
          <w:i w:val="1"/>
          <w:color w:val="000000"/>
          <w:rtl w:val="0"/>
        </w:rPr>
        <w:t xml:space="preserve"> </w:t>
      </w:r>
      <w:r w:rsidDel="00000000" w:rsidR="00000000" w:rsidRPr="00000000">
        <w:rPr>
          <w:rFonts w:ascii="Arial" w:cs="Arial" w:eastAsia="Arial" w:hAnsi="Arial"/>
          <w:b w:val="1"/>
          <w:color w:val="000000"/>
          <w:rtl w:val="0"/>
        </w:rPr>
        <w:t xml:space="preserve">Academy to date include: </w:t>
      </w:r>
    </w:p>
    <w:p w:rsidR="00000000" w:rsidDel="00000000" w:rsidP="00000000" w:rsidRDefault="00000000" w:rsidRPr="00000000" w14:paraId="00000072">
      <w:pPr>
        <w:ind w:right="-14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4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Ignite Sports </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42"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Abingdon and Witney College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42"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Activate learning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42"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City of oxford</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42"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ACE Training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42" w:hanging="36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Oxfordshire </w:t>
      </w:r>
      <w:r w:rsidDel="00000000" w:rsidR="00000000" w:rsidRPr="00000000">
        <w:rPr>
          <w:rFonts w:ascii="Arial" w:cs="Arial" w:eastAsia="Arial" w:hAnsi="Arial"/>
          <w:rtl w:val="0"/>
        </w:rPr>
        <w:t xml:space="preserve">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dvanced </w:t>
      </w:r>
      <w:r w:rsidDel="00000000" w:rsidR="00000000" w:rsidRPr="00000000">
        <w:rPr>
          <w:rFonts w:ascii="Arial" w:cs="Arial" w:eastAsia="Arial" w:hAnsi="Arial"/>
          <w:rtl w:val="0"/>
        </w:rPr>
        <w:t xml:space="preserve">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kills </w:t>
      </w:r>
      <w:r w:rsidDel="00000000" w:rsidR="00000000" w:rsidRPr="00000000">
        <w:rPr>
          <w:rtl w:val="0"/>
        </w:rPr>
      </w:r>
    </w:p>
    <w:p w:rsidR="00000000" w:rsidDel="00000000" w:rsidP="00000000" w:rsidRDefault="00000000" w:rsidRPr="00000000" w14:paraId="00000079">
      <w:pPr>
        <w:ind w:right="-14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A">
      <w:pPr>
        <w:rPr>
          <w:rFonts w:ascii="Arial" w:cs="Arial" w:eastAsia="Arial" w:hAnsi="Arial"/>
          <w:b w:val="1"/>
          <w:color w:val="000000"/>
        </w:rPr>
      </w:pPr>
      <w:r w:rsidDel="00000000" w:rsidR="00000000" w:rsidRPr="00000000">
        <w:rPr>
          <w:rFonts w:ascii="Arial" w:cs="Arial" w:eastAsia="Arial" w:hAnsi="Arial"/>
          <w:b w:val="1"/>
          <w:color w:val="000000"/>
          <w:rtl w:val="0"/>
        </w:rPr>
        <w:t xml:space="preserve">Destinations of previous pupils from The Iffley Academy include: </w:t>
      </w:r>
    </w:p>
    <w:p w:rsidR="00000000" w:rsidDel="00000000" w:rsidP="00000000" w:rsidRDefault="00000000" w:rsidRPr="00000000" w14:paraId="0000007B">
      <w:pPr>
        <w:ind w:right="-14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4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Ignite Sports Apprenticeship </w:t>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4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Abingdon and Witney College </w:t>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4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Banbury College </w:t>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4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Foxes Academy </w:t>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4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City of Oxford College </w:t>
      </w:r>
    </w:p>
    <w:sectPr>
      <w:headerReference r:id="rId11" w:type="default"/>
      <w:headerReference r:id="rId12" w:type="first"/>
      <w:headerReference r:id="rId13" w:type="even"/>
      <w:footerReference r:id="rId14" w:type="default"/>
      <w:footerReference r:id="rId15" w:type="first"/>
      <w:footerReference r:id="rId16" w:type="even"/>
      <w:pgSz w:h="16840" w:w="11900" w:orient="portrait"/>
      <w:pgMar w:bottom="1440" w:top="2098" w:left="1797" w:right="1314" w:header="709" w:footer="41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The Iffley Academy Trust Company Ltd is a Registered Charity</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Company Registration No. 8334718</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Registered in England &amp; Wales</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-1142999</wp:posOffset>
              </wp:positionH>
              <wp:positionV relativeFrom="paragraph">
                <wp:posOffset>-317499</wp:posOffset>
              </wp:positionV>
              <wp:extent cx="7562850" cy="361950"/>
              <wp:effectExtent b="0" l="0" r="0" t="0"/>
              <wp:wrapSquare wrapText="bothSides" distB="0" distT="0" distL="114300" distR="114300"/>
              <wp:docPr id="19" name=""/>
              <a:graphic>
                <a:graphicData uri="http://schemas.microsoft.com/office/word/2010/wordprocessingShape">
                  <wps:wsp>
                    <wps:cNvSpPr/>
                    <wps:cNvPr id="4" name="Shape 4"/>
                    <wps:spPr>
                      <a:xfrm>
                        <a:off x="1574100" y="3608550"/>
                        <a:ext cx="7543800" cy="342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IN-Medium" w:cs="DIN-Medium" w:eastAsia="DIN-Medium" w:hAnsi="DIN-Medium"/>
                              <w:b w:val="0"/>
                              <w:i w:val="0"/>
                              <w:smallCaps w:val="0"/>
                              <w:strike w:val="0"/>
                              <w:color w:val="808080"/>
                              <w:sz w:val="16"/>
                              <w:vertAlign w:val="baseline"/>
                            </w:rPr>
                            <w:t xml:space="preserve">The Gallery Trust is an exempt charity. Company registration No. 08334718 Registered in England and Wales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-1142999</wp:posOffset>
              </wp:positionH>
              <wp:positionV relativeFrom="paragraph">
                <wp:posOffset>-317499</wp:posOffset>
              </wp:positionV>
              <wp:extent cx="7562850" cy="361950"/>
              <wp:effectExtent b="0" l="0" r="0" t="0"/>
              <wp:wrapSquare wrapText="bothSides" distB="0" distT="0" distL="114300" distR="114300"/>
              <wp:docPr id="1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562850" cy="3619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-1209038</wp:posOffset>
          </wp:positionH>
          <wp:positionV relativeFrom="paragraph">
            <wp:posOffset>453390</wp:posOffset>
          </wp:positionV>
          <wp:extent cx="8458200" cy="381000"/>
          <wp:effectExtent b="0" l="0" r="0" t="0"/>
          <wp:wrapSquare wrapText="bothSides" distB="0" distT="0" distL="114300" distR="114300"/>
          <wp:docPr id="2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458200"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-1269998</wp:posOffset>
          </wp:positionH>
          <wp:positionV relativeFrom="paragraph">
            <wp:posOffset>0</wp:posOffset>
          </wp:positionV>
          <wp:extent cx="8458200" cy="381000"/>
          <wp:effectExtent b="0" l="0" r="0" t="0"/>
          <wp:wrapSquare wrapText="bothSides" distB="0" distT="0" distL="114300" distR="114300"/>
          <wp:docPr id="2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458200" cy="38100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4686430</wp:posOffset>
          </wp:positionH>
          <wp:positionV relativeFrom="paragraph">
            <wp:posOffset>-144143</wp:posOffset>
          </wp:positionV>
          <wp:extent cx="1437380" cy="951865"/>
          <wp:effectExtent b="0" l="0" r="0" t="0"/>
          <wp:wrapNone/>
          <wp:docPr id="2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437380" cy="95186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1017584</wp:posOffset>
          </wp:positionH>
          <wp:positionV relativeFrom="paragraph">
            <wp:posOffset>1607185</wp:posOffset>
          </wp:positionV>
          <wp:extent cx="3239139" cy="2145030"/>
          <wp:effectExtent b="0" l="0" r="0" t="0"/>
          <wp:wrapNone/>
          <wp:docPr id="2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239139" cy="214503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212BB"/>
    <w:pPr>
      <w:tabs>
        <w:tab w:val="center" w:pos="4320"/>
        <w:tab w:val="right" w:pos="8640"/>
      </w:tabs>
    </w:pPr>
  </w:style>
  <w:style w:type="character" w:styleId="HeaderChar" w:customStyle="1">
    <w:name w:val="Header Char"/>
    <w:basedOn w:val="DefaultParagraphFont"/>
    <w:link w:val="Header"/>
    <w:uiPriority w:val="99"/>
    <w:rsid w:val="004212BB"/>
  </w:style>
  <w:style w:type="paragraph" w:styleId="Footer">
    <w:name w:val="footer"/>
    <w:basedOn w:val="Normal"/>
    <w:link w:val="FooterChar"/>
    <w:uiPriority w:val="99"/>
    <w:unhideWhenUsed w:val="1"/>
    <w:rsid w:val="004212BB"/>
    <w:pPr>
      <w:tabs>
        <w:tab w:val="center" w:pos="4320"/>
        <w:tab w:val="right" w:pos="8640"/>
      </w:tabs>
    </w:pPr>
  </w:style>
  <w:style w:type="character" w:styleId="FooterChar" w:customStyle="1">
    <w:name w:val="Footer Char"/>
    <w:basedOn w:val="DefaultParagraphFont"/>
    <w:link w:val="Footer"/>
    <w:uiPriority w:val="99"/>
    <w:rsid w:val="004212BB"/>
  </w:style>
  <w:style w:type="paragraph" w:styleId="BalloonText">
    <w:name w:val="Balloon Text"/>
    <w:basedOn w:val="Normal"/>
    <w:link w:val="BalloonTextChar"/>
    <w:uiPriority w:val="99"/>
    <w:semiHidden w:val="1"/>
    <w:unhideWhenUsed w:val="1"/>
    <w:rsid w:val="004212BB"/>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4212BB"/>
    <w:rPr>
      <w:rFonts w:ascii="Lucida Grande" w:cs="Lucida Grande" w:hAnsi="Lucida Grande"/>
      <w:sz w:val="18"/>
      <w:szCs w:val="18"/>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val="1"/>
    <w:rsid w:val="00BE0403"/>
    <w:pPr>
      <w:ind w:left="720"/>
      <w:contextualSpacing w:val="1"/>
    </w:p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val="1"/>
    <w:rsid w:val="00680F6C"/>
  </w:style>
  <w:style w:type="character" w:styleId="Hyperlink">
    <w:name w:val="Hyperlink"/>
    <w:basedOn w:val="DefaultParagraphFont"/>
    <w:uiPriority w:val="99"/>
    <w:unhideWhenUsed w:val="1"/>
    <w:rsid w:val="006E0FB2"/>
    <w:rPr>
      <w:color w:val="0000ff" w:themeColor="hyperlink"/>
      <w:u w:val="single"/>
    </w:rPr>
  </w:style>
  <w:style w:type="character" w:styleId="FollowedHyperlink">
    <w:name w:val="FollowedHyperlink"/>
    <w:basedOn w:val="DefaultParagraphFont"/>
    <w:uiPriority w:val="99"/>
    <w:semiHidden w:val="1"/>
    <w:unhideWhenUsed w:val="1"/>
    <w:rsid w:val="00DC60DA"/>
    <w:rPr>
      <w:color w:val="800080" w:themeColor="followedHyperlink"/>
      <w:u w:val="single"/>
    </w:rPr>
  </w:style>
  <w:style w:type="character" w:styleId="UnresolvedMention">
    <w:name w:val="Unresolved Mention"/>
    <w:basedOn w:val="DefaultParagraphFont"/>
    <w:uiPriority w:val="99"/>
    <w:semiHidden w:val="1"/>
    <w:unhideWhenUsed w:val="1"/>
    <w:rsid w:val="00DC60D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gov.uk/government/publications/careers-guidance-provision-for-young-people-in-schools"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nicholas@iffleyacademy.co.uk"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yperlink" Target="mailto:d.nicholas@iffleyacademy.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xAeLiL6reXqLuw9x0LR6y1JIEg==">CgMxLjAyCGguZ2pkZ3hzMgloLjMwajB6bGwyDmguZXlrMnk3ZXRja3c4OAByITFDS3NXaTdGTlo1dTVlbTd5a3d4WTRQVG5nSEk1dk1aMQ==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2023-04-19T13:19:00Z</dcterms:created>
  <dc:creator>Rachel Felix</dc:creator>
</cp:coreProperties>
</file>