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A461F" w14:textId="77777777" w:rsidR="00123688" w:rsidRDefault="004465CD" w:rsidP="008164FC">
      <w:pPr>
        <w:spacing w:before="40" w:after="120" w:line="288" w:lineRule="auto"/>
        <w:rPr>
          <w:b/>
          <w:sz w:val="28"/>
          <w:szCs w:val="28"/>
        </w:rPr>
      </w:pPr>
      <w:r>
        <w:rPr>
          <w:b/>
          <w:sz w:val="28"/>
          <w:szCs w:val="28"/>
        </w:rPr>
        <w:t>Admission Indicators for Specialist Provision in Oxfordshire</w:t>
      </w:r>
    </w:p>
    <w:tbl>
      <w:tblPr>
        <w:tblStyle w:val="4"/>
        <w:tblW w:w="9493" w:type="dxa"/>
        <w:tblLayout w:type="fixed"/>
        <w:tblLook w:val="0000" w:firstRow="0" w:lastRow="0" w:firstColumn="0" w:lastColumn="0" w:noHBand="0" w:noVBand="0"/>
      </w:tblPr>
      <w:tblGrid>
        <w:gridCol w:w="4390"/>
        <w:gridCol w:w="5103"/>
      </w:tblGrid>
      <w:tr w:rsidR="00123688" w14:paraId="6CC678EC"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0D78" w14:textId="77777777" w:rsidR="00123688" w:rsidRDefault="004465CD" w:rsidP="008164FC">
            <w:pPr>
              <w:spacing w:before="100" w:after="100" w:line="288" w:lineRule="auto"/>
              <w:rPr>
                <w:b/>
                <w:sz w:val="22"/>
                <w:szCs w:val="22"/>
              </w:rPr>
            </w:pPr>
            <w:r>
              <w:rPr>
                <w:b/>
                <w:sz w:val="22"/>
                <w:szCs w:val="22"/>
              </w:rPr>
              <w:t>School / Setting Name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9852" w14:textId="77777777" w:rsidR="00123688" w:rsidRDefault="004465CD" w:rsidP="008164FC">
            <w:pPr>
              <w:spacing w:before="100" w:after="100" w:line="288" w:lineRule="auto"/>
              <w:rPr>
                <w:color w:val="000000"/>
                <w:sz w:val="22"/>
                <w:szCs w:val="22"/>
              </w:rPr>
            </w:pPr>
            <w:r>
              <w:rPr>
                <w:color w:val="000000"/>
                <w:sz w:val="22"/>
                <w:szCs w:val="22"/>
              </w:rPr>
              <w:t>Orion Academy</w:t>
            </w:r>
          </w:p>
        </w:tc>
      </w:tr>
      <w:tr w:rsidR="00123688" w14:paraId="27B23F4F" w14:textId="77777777" w:rsidTr="008164F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EE99" w14:textId="77777777" w:rsidR="00123688" w:rsidRDefault="004465CD" w:rsidP="008164FC">
            <w:pPr>
              <w:spacing w:before="100" w:after="100" w:line="288" w:lineRule="auto"/>
              <w:rPr>
                <w:b/>
                <w:sz w:val="22"/>
                <w:szCs w:val="22"/>
              </w:rPr>
            </w:pPr>
            <w:r>
              <w:rPr>
                <w:b/>
                <w:sz w:val="22"/>
                <w:szCs w:val="22"/>
              </w:rPr>
              <w:t xml:space="preserve">LA Maintained or </w:t>
            </w:r>
          </w:p>
          <w:p w14:paraId="1EE3169C" w14:textId="77777777" w:rsidR="00123688" w:rsidRDefault="004465CD" w:rsidP="008164FC">
            <w:pPr>
              <w:spacing w:before="100" w:after="100" w:line="288" w:lineRule="auto"/>
              <w:rPr>
                <w:b/>
                <w:sz w:val="22"/>
                <w:szCs w:val="22"/>
              </w:rPr>
            </w:pPr>
            <w:r>
              <w:rPr>
                <w:b/>
                <w:sz w:val="22"/>
                <w:szCs w:val="22"/>
              </w:rPr>
              <w:t>Academy Trust Name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72CE7" w14:textId="77777777" w:rsidR="00123688" w:rsidRDefault="004465CD" w:rsidP="008164FC">
            <w:pPr>
              <w:spacing w:before="100" w:after="100" w:line="288" w:lineRule="auto"/>
              <w:rPr>
                <w:color w:val="000000"/>
                <w:sz w:val="22"/>
                <w:szCs w:val="22"/>
              </w:rPr>
            </w:pPr>
            <w:r>
              <w:rPr>
                <w:color w:val="000000"/>
                <w:sz w:val="22"/>
                <w:szCs w:val="22"/>
              </w:rPr>
              <w:t>The Gallery Trust</w:t>
            </w:r>
          </w:p>
        </w:tc>
      </w:tr>
      <w:tr w:rsidR="00123688" w14:paraId="6B8303D0" w14:textId="77777777" w:rsidTr="008164F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70EFE" w14:textId="07D0FCAB" w:rsidR="00123688" w:rsidRPr="00AE7796" w:rsidRDefault="004465CD" w:rsidP="00AE7796">
            <w:pPr>
              <w:spacing w:before="100" w:after="100" w:line="288" w:lineRule="auto"/>
              <w:rPr>
                <w:b/>
                <w:sz w:val="22"/>
                <w:szCs w:val="22"/>
              </w:rPr>
            </w:pPr>
            <w:r>
              <w:rPr>
                <w:b/>
                <w:sz w:val="22"/>
                <w:szCs w:val="22"/>
              </w:rPr>
              <w:t xml:space="preserve">Type of Setting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6F147" w14:textId="77777777" w:rsidR="00123688" w:rsidRDefault="004465CD" w:rsidP="008164FC">
            <w:pPr>
              <w:spacing w:before="100" w:after="100" w:line="288" w:lineRule="auto"/>
              <w:ind w:left="32"/>
              <w:rPr>
                <w:color w:val="000000"/>
                <w:sz w:val="22"/>
                <w:szCs w:val="22"/>
              </w:rPr>
            </w:pPr>
            <w:r>
              <w:rPr>
                <w:color w:val="000000"/>
                <w:sz w:val="22"/>
                <w:szCs w:val="22"/>
              </w:rPr>
              <w:t>Countywide Special School</w:t>
            </w:r>
          </w:p>
        </w:tc>
      </w:tr>
      <w:tr w:rsidR="00123688" w14:paraId="7F735E2E"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264B" w14:textId="77777777" w:rsidR="00123688" w:rsidRDefault="004465CD" w:rsidP="008164FC">
            <w:pPr>
              <w:spacing w:before="100" w:after="100" w:line="288" w:lineRule="auto"/>
              <w:rPr>
                <w:b/>
                <w:sz w:val="22"/>
                <w:szCs w:val="22"/>
              </w:rPr>
            </w:pPr>
            <w:r>
              <w:rPr>
                <w:b/>
                <w:sz w:val="22"/>
                <w:szCs w:val="22"/>
              </w:rPr>
              <w:t>Designation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DC18" w14:textId="77777777" w:rsidR="00123688" w:rsidRDefault="004465CD" w:rsidP="008164FC">
            <w:pPr>
              <w:spacing w:before="100" w:after="100" w:line="288" w:lineRule="auto"/>
              <w:rPr>
                <w:color w:val="000000"/>
                <w:sz w:val="22"/>
                <w:szCs w:val="22"/>
              </w:rPr>
            </w:pPr>
            <w:r>
              <w:rPr>
                <w:color w:val="000000"/>
                <w:sz w:val="22"/>
                <w:szCs w:val="22"/>
              </w:rPr>
              <w:t xml:space="preserve">Social, Emotional and Mental Health </w:t>
            </w:r>
            <w:r>
              <w:rPr>
                <w:color w:val="000000"/>
                <w:sz w:val="22"/>
                <w:szCs w:val="22"/>
              </w:rPr>
              <w:t>(SEMH)</w:t>
            </w:r>
          </w:p>
        </w:tc>
      </w:tr>
      <w:tr w:rsidR="00123688" w14:paraId="08B01B41"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0645" w14:textId="77777777" w:rsidR="00123688" w:rsidRDefault="004465CD" w:rsidP="008164FC">
            <w:pPr>
              <w:spacing w:before="100" w:after="100" w:line="288" w:lineRule="auto"/>
              <w:rPr>
                <w:b/>
                <w:sz w:val="22"/>
                <w:szCs w:val="22"/>
              </w:rPr>
            </w:pPr>
            <w:r>
              <w:rPr>
                <w:b/>
                <w:sz w:val="22"/>
                <w:szCs w:val="22"/>
              </w:rPr>
              <w:t>Planned Admission Numbers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4CC6" w14:textId="77777777" w:rsidR="00123688" w:rsidRDefault="004465CD" w:rsidP="008164FC">
            <w:pPr>
              <w:spacing w:before="100" w:after="100" w:line="288" w:lineRule="auto"/>
              <w:rPr>
                <w:color w:val="000000"/>
                <w:sz w:val="22"/>
                <w:szCs w:val="22"/>
              </w:rPr>
            </w:pPr>
            <w:r>
              <w:rPr>
                <w:sz w:val="22"/>
                <w:szCs w:val="22"/>
              </w:rPr>
              <w:t>102</w:t>
            </w:r>
          </w:p>
        </w:tc>
      </w:tr>
      <w:tr w:rsidR="00123688" w14:paraId="0E6F8ACF"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3F7D" w14:textId="77777777" w:rsidR="00123688" w:rsidRDefault="004465CD" w:rsidP="008164FC">
            <w:pPr>
              <w:spacing w:before="100" w:after="100" w:line="288" w:lineRule="auto"/>
              <w:rPr>
                <w:b/>
                <w:sz w:val="22"/>
                <w:szCs w:val="22"/>
              </w:rPr>
            </w:pPr>
            <w:r>
              <w:rPr>
                <w:b/>
                <w:sz w:val="22"/>
                <w:szCs w:val="22"/>
              </w:rPr>
              <w:t>Location and Catchment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8510" w14:textId="77777777" w:rsidR="00123688" w:rsidRDefault="004465CD" w:rsidP="008164FC">
            <w:pPr>
              <w:spacing w:before="100" w:after="100" w:line="288" w:lineRule="auto"/>
              <w:rPr>
                <w:color w:val="000000"/>
                <w:sz w:val="22"/>
                <w:szCs w:val="22"/>
              </w:rPr>
            </w:pPr>
            <w:r>
              <w:rPr>
                <w:color w:val="000000"/>
                <w:sz w:val="22"/>
                <w:szCs w:val="22"/>
              </w:rPr>
              <w:t>Knights Road, Blackbird Leys</w:t>
            </w:r>
            <w:r>
              <w:rPr>
                <w:color w:val="000000"/>
                <w:sz w:val="22"/>
                <w:szCs w:val="22"/>
              </w:rPr>
              <w:br/>
              <w:t>Oxford, OX4 6DQ</w:t>
            </w:r>
          </w:p>
        </w:tc>
      </w:tr>
      <w:tr w:rsidR="00123688" w14:paraId="523920E8"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F26D" w14:textId="77777777" w:rsidR="00123688" w:rsidRDefault="004465CD" w:rsidP="008164FC">
            <w:pPr>
              <w:spacing w:before="100" w:after="100" w:line="288" w:lineRule="auto"/>
              <w:rPr>
                <w:b/>
                <w:sz w:val="22"/>
                <w:szCs w:val="22"/>
              </w:rPr>
            </w:pPr>
            <w:r>
              <w:rPr>
                <w:b/>
                <w:sz w:val="22"/>
                <w:szCs w:val="22"/>
              </w:rPr>
              <w:t xml:space="preserve">Age Group / Key Stages </w:t>
            </w:r>
          </w:p>
          <w:p w14:paraId="1F5D2787" w14:textId="77777777" w:rsidR="00123688" w:rsidRDefault="004465CD" w:rsidP="008164FC">
            <w:pPr>
              <w:spacing w:before="100" w:after="100" w:line="288" w:lineRule="auto"/>
            </w:pPr>
            <w:r>
              <w:rPr>
                <w:i/>
                <w:sz w:val="16"/>
                <w:szCs w:val="16"/>
              </w:rPr>
              <w:t xml:space="preserve">Include any specific information e.g. any limitations around NOR in particular key stages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170C" w14:textId="77777777" w:rsidR="00123688" w:rsidRDefault="004465CD" w:rsidP="008164FC">
            <w:pPr>
              <w:spacing w:before="100" w:after="100" w:line="288" w:lineRule="auto"/>
              <w:rPr>
                <w:color w:val="000000"/>
                <w:sz w:val="22"/>
                <w:szCs w:val="22"/>
              </w:rPr>
            </w:pPr>
            <w:r>
              <w:rPr>
                <w:color w:val="000000"/>
                <w:sz w:val="22"/>
                <w:szCs w:val="22"/>
              </w:rPr>
              <w:t>10-18 (Years 6 - 13)</w:t>
            </w:r>
          </w:p>
          <w:p w14:paraId="09C5B9A2" w14:textId="77777777" w:rsidR="00123688" w:rsidRDefault="004465CD" w:rsidP="008164FC">
            <w:pPr>
              <w:spacing w:before="100" w:after="100" w:line="288" w:lineRule="auto"/>
              <w:rPr>
                <w:color w:val="000000"/>
                <w:sz w:val="22"/>
                <w:szCs w:val="22"/>
              </w:rPr>
            </w:pPr>
            <w:r>
              <w:rPr>
                <w:color w:val="000000"/>
                <w:sz w:val="22"/>
                <w:szCs w:val="22"/>
              </w:rPr>
              <w:t>Key Stages 2 (Year 6 only), 3, 4 and 5 (post-16)</w:t>
            </w:r>
          </w:p>
          <w:p w14:paraId="57FAF941" w14:textId="2C9CDC49" w:rsidR="0006459C" w:rsidRDefault="0006459C" w:rsidP="008164FC">
            <w:pPr>
              <w:spacing w:before="100" w:after="100" w:line="288" w:lineRule="auto"/>
              <w:rPr>
                <w:color w:val="000000"/>
                <w:sz w:val="22"/>
                <w:szCs w:val="22"/>
              </w:rPr>
            </w:pPr>
            <w:r>
              <w:rPr>
                <w:color w:val="000000"/>
                <w:sz w:val="22"/>
                <w:szCs w:val="22"/>
              </w:rPr>
              <w:t>KS2 and KS5 provision will only operate if there is demand and capacity within the school’s planned admission number.</w:t>
            </w:r>
          </w:p>
        </w:tc>
      </w:tr>
      <w:tr w:rsidR="00123688" w14:paraId="2A73E41B"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4C81" w14:textId="77777777" w:rsidR="00123688" w:rsidRDefault="004465CD" w:rsidP="008164FC">
            <w:pPr>
              <w:spacing w:before="100" w:after="100" w:line="288" w:lineRule="auto"/>
              <w:rPr>
                <w:b/>
              </w:rPr>
            </w:pPr>
            <w:r>
              <w:rPr>
                <w:b/>
              </w:rPr>
              <w:t>Setting Pen Portrait</w:t>
            </w:r>
          </w:p>
        </w:tc>
      </w:tr>
      <w:tr w:rsidR="00123688" w14:paraId="434E7334" w14:textId="77777777">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D122" w14:textId="77777777" w:rsidR="00123688" w:rsidRDefault="004465CD" w:rsidP="008164FC">
            <w:pPr>
              <w:spacing w:line="288" w:lineRule="auto"/>
              <w:rPr>
                <w:color w:val="000000"/>
                <w:sz w:val="22"/>
                <w:szCs w:val="22"/>
                <w:highlight w:val="white"/>
              </w:rPr>
            </w:pPr>
            <w:r>
              <w:rPr>
                <w:color w:val="000000"/>
                <w:sz w:val="22"/>
                <w:szCs w:val="22"/>
              </w:rPr>
              <w:t xml:space="preserve">Orion Academy is a special school for pupils aged 10-18. </w:t>
            </w:r>
            <w:proofErr w:type="gramStart"/>
            <w:r>
              <w:rPr>
                <w:color w:val="000000"/>
                <w:sz w:val="22"/>
                <w:szCs w:val="22"/>
                <w:highlight w:val="white"/>
              </w:rPr>
              <w:t>All of</w:t>
            </w:r>
            <w:proofErr w:type="gramEnd"/>
            <w:r>
              <w:rPr>
                <w:color w:val="000000"/>
                <w:sz w:val="22"/>
                <w:szCs w:val="22"/>
                <w:highlight w:val="white"/>
              </w:rPr>
              <w:t xml:space="preserve"> our students have an </w:t>
            </w:r>
          </w:p>
          <w:p w14:paraId="36E869D1" w14:textId="007B5888" w:rsidR="00123688" w:rsidRPr="0006459C" w:rsidRDefault="004465CD" w:rsidP="008164FC">
            <w:pPr>
              <w:spacing w:line="288" w:lineRule="auto"/>
              <w:rPr>
                <w:color w:val="000000"/>
                <w:sz w:val="22"/>
                <w:szCs w:val="22"/>
                <w:highlight w:val="white"/>
              </w:rPr>
            </w:pPr>
            <w:r>
              <w:rPr>
                <w:color w:val="000000"/>
                <w:sz w:val="22"/>
                <w:szCs w:val="22"/>
                <w:highlight w:val="white"/>
              </w:rPr>
              <w:t>Education, Health</w:t>
            </w:r>
            <w:r>
              <w:rPr>
                <w:color w:val="000000"/>
                <w:sz w:val="22"/>
                <w:szCs w:val="22"/>
                <w:highlight w:val="white"/>
              </w:rPr>
              <w:t xml:space="preserve"> and Care Plan (EHCP) with a range of needs, but most significantly we work with </w:t>
            </w:r>
            <w:r w:rsidR="0006459C">
              <w:rPr>
                <w:color w:val="000000"/>
                <w:sz w:val="22"/>
                <w:szCs w:val="22"/>
                <w:highlight w:val="white"/>
              </w:rPr>
              <w:t xml:space="preserve">children and young people </w:t>
            </w:r>
            <w:r>
              <w:rPr>
                <w:color w:val="000000"/>
                <w:sz w:val="22"/>
                <w:szCs w:val="22"/>
                <w:highlight w:val="white"/>
              </w:rPr>
              <w:t>w</w:t>
            </w:r>
            <w:r w:rsidR="0006459C">
              <w:rPr>
                <w:color w:val="000000"/>
                <w:sz w:val="22"/>
                <w:szCs w:val="22"/>
                <w:highlight w:val="white"/>
              </w:rPr>
              <w:t xml:space="preserve">ith </w:t>
            </w:r>
            <w:r>
              <w:rPr>
                <w:color w:val="000000"/>
                <w:sz w:val="22"/>
                <w:szCs w:val="22"/>
                <w:highlight w:val="white"/>
              </w:rPr>
              <w:t>Social, Emotional and Mental Health (SEMH) needs, Autistic Spectrum Condition (ASC) and other associated difficulties</w:t>
            </w:r>
            <w:r w:rsidR="0006459C">
              <w:rPr>
                <w:color w:val="000000"/>
                <w:sz w:val="22"/>
                <w:szCs w:val="22"/>
                <w:highlight w:val="white"/>
              </w:rPr>
              <w:t xml:space="preserve"> like ADHD and specific learning difficulties.</w:t>
            </w:r>
            <w:r>
              <w:rPr>
                <w:color w:val="000000"/>
                <w:sz w:val="22"/>
                <w:szCs w:val="22"/>
                <w:highlight w:val="white"/>
              </w:rPr>
              <w:t xml:space="preserve"> </w:t>
            </w:r>
            <w:r>
              <w:rPr>
                <w:color w:val="000000"/>
                <w:sz w:val="22"/>
                <w:szCs w:val="22"/>
              </w:rPr>
              <w:t xml:space="preserve">We use a child-centred approach to ensure that all children are included and have access to the provision and resources they require to be successful. </w:t>
            </w:r>
          </w:p>
          <w:p w14:paraId="0D3046CE" w14:textId="77777777" w:rsidR="00123688" w:rsidRDefault="00123688" w:rsidP="008164FC">
            <w:pPr>
              <w:spacing w:line="288" w:lineRule="auto"/>
              <w:rPr>
                <w:color w:val="000000"/>
                <w:sz w:val="22"/>
                <w:szCs w:val="22"/>
                <w:highlight w:val="white"/>
              </w:rPr>
            </w:pPr>
          </w:p>
          <w:p w14:paraId="1018FD8B" w14:textId="77777777" w:rsidR="00123688" w:rsidRDefault="004465CD" w:rsidP="008164FC">
            <w:pPr>
              <w:spacing w:line="288" w:lineRule="auto"/>
              <w:rPr>
                <w:color w:val="000000"/>
                <w:sz w:val="22"/>
                <w:szCs w:val="22"/>
                <w:highlight w:val="white"/>
              </w:rPr>
            </w:pPr>
            <w:r>
              <w:rPr>
                <w:color w:val="000000"/>
                <w:sz w:val="22"/>
                <w:szCs w:val="22"/>
                <w:highlight w:val="white"/>
              </w:rPr>
              <w:t xml:space="preserve">We believe that each student should be treated as an individual and we enjoy forming positive relationships with parents and carers to help us to understand each child and to be able to forge individual pathways to ensure the best outcomes. We take our responsibilities as </w:t>
            </w:r>
          </w:p>
          <w:p w14:paraId="29C37385" w14:textId="77777777" w:rsidR="00123688" w:rsidRDefault="004465CD" w:rsidP="008164FC">
            <w:pPr>
              <w:spacing w:line="288" w:lineRule="auto"/>
              <w:rPr>
                <w:color w:val="000000"/>
                <w:sz w:val="22"/>
                <w:szCs w:val="22"/>
                <w:highlight w:val="white"/>
              </w:rPr>
            </w:pPr>
            <w:r>
              <w:rPr>
                <w:color w:val="000000"/>
                <w:sz w:val="22"/>
                <w:szCs w:val="22"/>
                <w:highlight w:val="white"/>
              </w:rPr>
              <w:t xml:space="preserve">educators very seriously and aim to develop responsible and well-rounded citizens of the </w:t>
            </w:r>
          </w:p>
          <w:p w14:paraId="36D125A9" w14:textId="36F7495B" w:rsidR="00123688" w:rsidRDefault="004465CD" w:rsidP="008164FC">
            <w:pPr>
              <w:spacing w:line="288" w:lineRule="auto"/>
              <w:rPr>
                <w:color w:val="000000"/>
                <w:sz w:val="22"/>
                <w:szCs w:val="22"/>
                <w:highlight w:val="white"/>
              </w:rPr>
            </w:pPr>
            <w:r>
              <w:rPr>
                <w:color w:val="000000"/>
                <w:sz w:val="22"/>
                <w:szCs w:val="22"/>
                <w:highlight w:val="white"/>
              </w:rPr>
              <w:t xml:space="preserve">future. All our strategies focus on ensuring a student retains or gains independence. Our school community work </w:t>
            </w:r>
            <w:r w:rsidR="0006459C">
              <w:rPr>
                <w:color w:val="000000"/>
                <w:sz w:val="22"/>
                <w:szCs w:val="22"/>
                <w:highlight w:val="white"/>
              </w:rPr>
              <w:t>towards developing</w:t>
            </w:r>
            <w:r>
              <w:rPr>
                <w:color w:val="000000"/>
                <w:sz w:val="22"/>
                <w:szCs w:val="22"/>
                <w:highlight w:val="white"/>
              </w:rPr>
              <w:t xml:space="preserve"> the </w:t>
            </w:r>
            <w:r w:rsidR="0006459C">
              <w:rPr>
                <w:color w:val="000000"/>
                <w:sz w:val="22"/>
                <w:szCs w:val="22"/>
                <w:highlight w:val="white"/>
              </w:rPr>
              <w:t>following characteristics: Team Working, Self-Awareness, Problem Solving, Showing Empathy, Demonstrating Commitment and Building Resilience. Students and staff follow the principles of restorative practice, where conflict is managed through restorative enquiries and conversations and opportunities are given to support reparation and relationship building and students are encouraged to understand their behaviour and the impact it has on others.</w:t>
            </w:r>
          </w:p>
          <w:p w14:paraId="109E9F5C" w14:textId="77777777" w:rsidR="00123688" w:rsidRDefault="00123688" w:rsidP="008164FC">
            <w:pPr>
              <w:spacing w:line="288" w:lineRule="auto"/>
              <w:rPr>
                <w:color w:val="000000"/>
                <w:sz w:val="22"/>
                <w:szCs w:val="22"/>
                <w:highlight w:val="white"/>
              </w:rPr>
            </w:pPr>
          </w:p>
          <w:p w14:paraId="1F917809" w14:textId="78921431" w:rsidR="0006459C" w:rsidRDefault="0006459C" w:rsidP="008164FC">
            <w:pPr>
              <w:spacing w:line="288" w:lineRule="auto"/>
              <w:rPr>
                <w:color w:val="000000"/>
                <w:sz w:val="22"/>
                <w:szCs w:val="22"/>
                <w:highlight w:val="white"/>
              </w:rPr>
            </w:pPr>
            <w:r>
              <w:rPr>
                <w:color w:val="000000"/>
                <w:sz w:val="22"/>
                <w:szCs w:val="22"/>
                <w:highlight w:val="white"/>
              </w:rPr>
              <w:t xml:space="preserve">Students have access to a 3-tiered supported approach to their education: all students have access to the school’s </w:t>
            </w:r>
            <w:r w:rsidRPr="0006459C">
              <w:rPr>
                <w:i/>
                <w:iCs/>
                <w:color w:val="000000"/>
                <w:sz w:val="22"/>
                <w:szCs w:val="22"/>
                <w:highlight w:val="white"/>
              </w:rPr>
              <w:t>universal</w:t>
            </w:r>
            <w:r>
              <w:rPr>
                <w:color w:val="000000"/>
                <w:sz w:val="22"/>
                <w:szCs w:val="22"/>
                <w:highlight w:val="white"/>
              </w:rPr>
              <w:t xml:space="preserve"> school based </w:t>
            </w:r>
            <w:r w:rsidR="00AC71E0">
              <w:rPr>
                <w:color w:val="000000"/>
                <w:sz w:val="22"/>
                <w:szCs w:val="22"/>
                <w:highlight w:val="white"/>
              </w:rPr>
              <w:t xml:space="preserve">curriculum </w:t>
            </w:r>
            <w:r>
              <w:rPr>
                <w:color w:val="000000"/>
                <w:sz w:val="22"/>
                <w:szCs w:val="22"/>
                <w:highlight w:val="white"/>
              </w:rPr>
              <w:t>offer</w:t>
            </w:r>
            <w:r w:rsidR="00AC71E0">
              <w:rPr>
                <w:color w:val="000000"/>
                <w:sz w:val="22"/>
                <w:szCs w:val="22"/>
                <w:highlight w:val="white"/>
              </w:rPr>
              <w:t xml:space="preserve"> which is built around the SEND needs of the learners and delivered by the Teaching and Learning team and the Pastoral Support Team; students with additional needs are supported by an </w:t>
            </w:r>
            <w:r w:rsidR="004210FD">
              <w:rPr>
                <w:i/>
                <w:iCs/>
                <w:color w:val="000000"/>
                <w:sz w:val="22"/>
                <w:szCs w:val="22"/>
                <w:highlight w:val="white"/>
              </w:rPr>
              <w:t>e</w:t>
            </w:r>
            <w:r w:rsidR="00AC71E0" w:rsidRPr="00AC71E0">
              <w:rPr>
                <w:i/>
                <w:iCs/>
                <w:color w:val="000000"/>
                <w:sz w:val="22"/>
                <w:szCs w:val="22"/>
                <w:highlight w:val="white"/>
              </w:rPr>
              <w:t>nhanced</w:t>
            </w:r>
            <w:r w:rsidR="00AC71E0">
              <w:rPr>
                <w:color w:val="000000"/>
                <w:sz w:val="22"/>
                <w:szCs w:val="22"/>
                <w:highlight w:val="white"/>
              </w:rPr>
              <w:t xml:space="preserve"> pathway which is delivered through the school team and the Community Learning Team and sees students accessing additional </w:t>
            </w:r>
            <w:r w:rsidR="00AE7796">
              <w:rPr>
                <w:color w:val="000000"/>
                <w:sz w:val="22"/>
                <w:szCs w:val="22"/>
                <w:highlight w:val="white"/>
              </w:rPr>
              <w:t>support</w:t>
            </w:r>
            <w:r w:rsidR="00AC71E0">
              <w:rPr>
                <w:color w:val="000000"/>
                <w:sz w:val="22"/>
                <w:szCs w:val="22"/>
                <w:highlight w:val="white"/>
              </w:rPr>
              <w:t xml:space="preserve"> e.g. </w:t>
            </w:r>
            <w:r w:rsidR="00AE7796">
              <w:rPr>
                <w:color w:val="000000"/>
                <w:sz w:val="22"/>
                <w:szCs w:val="22"/>
                <w:highlight w:val="white"/>
              </w:rPr>
              <w:t>targeted interventions</w:t>
            </w:r>
            <w:r w:rsidR="008164FC">
              <w:rPr>
                <w:color w:val="000000"/>
                <w:sz w:val="22"/>
                <w:szCs w:val="22"/>
                <w:highlight w:val="white"/>
              </w:rPr>
              <w:t>, m</w:t>
            </w:r>
            <w:r w:rsidR="00AC71E0">
              <w:rPr>
                <w:color w:val="000000"/>
                <w:sz w:val="22"/>
                <w:szCs w:val="22"/>
                <w:highlight w:val="white"/>
              </w:rPr>
              <w:t>entoring</w:t>
            </w:r>
            <w:r w:rsidR="008164FC">
              <w:rPr>
                <w:color w:val="000000"/>
                <w:sz w:val="22"/>
                <w:szCs w:val="22"/>
                <w:highlight w:val="white"/>
              </w:rPr>
              <w:t xml:space="preserve"> or tutoring</w:t>
            </w:r>
            <w:r w:rsidR="00AE7796">
              <w:rPr>
                <w:color w:val="000000"/>
                <w:sz w:val="22"/>
                <w:szCs w:val="22"/>
              </w:rPr>
              <w:t>. I</w:t>
            </w:r>
            <w:r w:rsidR="00AE7796" w:rsidRPr="00AE7796">
              <w:rPr>
                <w:color w:val="000000"/>
                <w:sz w:val="22"/>
                <w:szCs w:val="22"/>
                <w:shd w:val="clear" w:color="auto" w:fill="FFFFFF"/>
              </w:rPr>
              <w:t xml:space="preserve">n addition to </w:t>
            </w:r>
            <w:r w:rsidR="00AE7796" w:rsidRPr="00AE7796">
              <w:rPr>
                <w:color w:val="000000"/>
                <w:sz w:val="22"/>
                <w:szCs w:val="22"/>
                <w:shd w:val="clear" w:color="auto" w:fill="FFFFFF"/>
              </w:rPr>
              <w:lastRenderedPageBreak/>
              <w:t xml:space="preserve">the universal </w:t>
            </w:r>
            <w:proofErr w:type="gramStart"/>
            <w:r w:rsidR="00AE7796" w:rsidRPr="00AE7796">
              <w:rPr>
                <w:color w:val="000000"/>
                <w:sz w:val="22"/>
                <w:szCs w:val="22"/>
                <w:shd w:val="clear" w:color="auto" w:fill="FFFFFF"/>
              </w:rPr>
              <w:t>offer;</w:t>
            </w:r>
            <w:proofErr w:type="gramEnd"/>
            <w:r w:rsidR="00AE7796" w:rsidRPr="00AE7796">
              <w:rPr>
                <w:color w:val="000000"/>
                <w:sz w:val="22"/>
                <w:szCs w:val="22"/>
                <w:shd w:val="clear" w:color="auto" w:fill="FFFFFF"/>
              </w:rPr>
              <w:t xml:space="preserve"> some students in Key Stage 4 and 5 who require an entirely individualised approach to the curriculum can follow a </w:t>
            </w:r>
            <w:r w:rsidR="004210FD">
              <w:rPr>
                <w:i/>
                <w:iCs/>
                <w:color w:val="000000"/>
                <w:sz w:val="22"/>
                <w:szCs w:val="22"/>
                <w:shd w:val="clear" w:color="auto" w:fill="FFFFFF"/>
              </w:rPr>
              <w:t>p</w:t>
            </w:r>
            <w:r w:rsidR="00AE7796" w:rsidRPr="00AE7796">
              <w:rPr>
                <w:i/>
                <w:iCs/>
                <w:color w:val="000000"/>
                <w:sz w:val="22"/>
                <w:szCs w:val="22"/>
                <w:shd w:val="clear" w:color="auto" w:fill="FFFFFF"/>
              </w:rPr>
              <w:t>ersonalised</w:t>
            </w:r>
            <w:r w:rsidR="00AE7796" w:rsidRPr="00AE7796">
              <w:rPr>
                <w:color w:val="000000"/>
                <w:sz w:val="22"/>
                <w:szCs w:val="22"/>
                <w:shd w:val="clear" w:color="auto" w:fill="FFFFFF"/>
              </w:rPr>
              <w:t> pathway, both on and off-site, and access a selection of educational experiences which focus on preparation for adulthood. These include work experience, access to practical skills-based learning from local partners, remote learning self-management opportunities, volunteering and college placements. </w:t>
            </w:r>
            <w:r w:rsidR="00AC71E0" w:rsidRPr="00AE7796">
              <w:rPr>
                <w:color w:val="000000"/>
                <w:sz w:val="22"/>
                <w:szCs w:val="22"/>
                <w:highlight w:val="white"/>
              </w:rPr>
              <w:t xml:space="preserve"> </w:t>
            </w:r>
            <w:r w:rsidR="008164FC">
              <w:rPr>
                <w:color w:val="000000"/>
                <w:sz w:val="22"/>
                <w:szCs w:val="22"/>
                <w:highlight w:val="white"/>
              </w:rPr>
              <w:t>Additionally, students are offered activities in the community after school and during the school holidays from the Community Learning team of youth workers.</w:t>
            </w:r>
          </w:p>
          <w:p w14:paraId="40786FE8" w14:textId="77777777" w:rsidR="0006459C" w:rsidRDefault="0006459C" w:rsidP="008164FC">
            <w:pPr>
              <w:spacing w:line="288" w:lineRule="auto"/>
              <w:rPr>
                <w:color w:val="000000"/>
                <w:sz w:val="22"/>
                <w:szCs w:val="22"/>
                <w:highlight w:val="white"/>
              </w:rPr>
            </w:pPr>
          </w:p>
          <w:p w14:paraId="2E154A58" w14:textId="3E50804E" w:rsidR="00123688" w:rsidRDefault="004465CD" w:rsidP="008164FC">
            <w:pPr>
              <w:spacing w:line="288" w:lineRule="auto"/>
              <w:rPr>
                <w:color w:val="000000"/>
                <w:sz w:val="22"/>
                <w:szCs w:val="22"/>
              </w:rPr>
            </w:pPr>
            <w:r>
              <w:rPr>
                <w:color w:val="000000"/>
                <w:sz w:val="22"/>
                <w:szCs w:val="22"/>
                <w:highlight w:val="white"/>
              </w:rPr>
              <w:t>We work to ensure that all our interventions and provision for SEND are tracked and evaluated</w:t>
            </w:r>
            <w:r w:rsidR="00BD5679">
              <w:rPr>
                <w:color w:val="000000"/>
                <w:sz w:val="22"/>
                <w:szCs w:val="22"/>
              </w:rPr>
              <w:t xml:space="preserve">. </w:t>
            </w:r>
            <w:r>
              <w:rPr>
                <w:color w:val="000000"/>
                <w:sz w:val="22"/>
                <w:szCs w:val="22"/>
              </w:rPr>
              <w:t xml:space="preserve">We follow </w:t>
            </w:r>
            <w:r w:rsidR="00BD5679">
              <w:rPr>
                <w:color w:val="000000"/>
                <w:sz w:val="22"/>
                <w:szCs w:val="22"/>
              </w:rPr>
              <w:t>g</w:t>
            </w:r>
            <w:r>
              <w:rPr>
                <w:color w:val="000000"/>
                <w:sz w:val="22"/>
                <w:szCs w:val="22"/>
              </w:rPr>
              <w:t xml:space="preserve">overnment guidelines about the curriculum we offer whilst taking a flexible approach to our provision to ensure each student has an academic experience which is relevant to them. </w:t>
            </w:r>
          </w:p>
          <w:p w14:paraId="432E6E27" w14:textId="77777777" w:rsidR="00123688" w:rsidRDefault="00123688" w:rsidP="008164FC">
            <w:pPr>
              <w:spacing w:line="288" w:lineRule="auto"/>
              <w:rPr>
                <w:color w:val="000000"/>
                <w:sz w:val="22"/>
                <w:szCs w:val="22"/>
                <w:highlight w:val="white"/>
              </w:rPr>
            </w:pPr>
          </w:p>
          <w:p w14:paraId="222367B6" w14:textId="69A26325" w:rsidR="00123688" w:rsidRPr="008164FC" w:rsidRDefault="004465CD" w:rsidP="008164FC">
            <w:pPr>
              <w:spacing w:line="288" w:lineRule="auto"/>
              <w:rPr>
                <w:color w:val="000000"/>
                <w:sz w:val="22"/>
                <w:szCs w:val="22"/>
              </w:rPr>
            </w:pPr>
            <w:r>
              <w:rPr>
                <w:color w:val="000000"/>
                <w:sz w:val="22"/>
                <w:szCs w:val="22"/>
                <w:highlight w:val="white"/>
              </w:rPr>
              <w:t xml:space="preserve">Students have access to a wealth of services and professionals provided by the </w:t>
            </w:r>
            <w:r w:rsidR="008164FC">
              <w:rPr>
                <w:color w:val="000000"/>
                <w:sz w:val="22"/>
                <w:szCs w:val="22"/>
                <w:highlight w:val="white"/>
              </w:rPr>
              <w:t>school</w:t>
            </w:r>
            <w:r>
              <w:rPr>
                <w:color w:val="000000"/>
                <w:sz w:val="22"/>
                <w:szCs w:val="22"/>
                <w:highlight w:val="white"/>
              </w:rPr>
              <w:t xml:space="preserve"> and external providers including the Academy Police Liaison Officer, </w:t>
            </w:r>
            <w:r>
              <w:rPr>
                <w:color w:val="000000"/>
                <w:sz w:val="22"/>
                <w:szCs w:val="22"/>
              </w:rPr>
              <w:t xml:space="preserve">Speech and Language Therapist (provided by Oxford Health NHS Trust), and we also work closely with and </w:t>
            </w:r>
            <w:proofErr w:type="gramStart"/>
            <w:r>
              <w:rPr>
                <w:color w:val="000000"/>
                <w:sz w:val="22"/>
                <w:szCs w:val="22"/>
              </w:rPr>
              <w:t>are able to</w:t>
            </w:r>
            <w:proofErr w:type="gramEnd"/>
            <w:r>
              <w:rPr>
                <w:color w:val="000000"/>
                <w:sz w:val="22"/>
                <w:szCs w:val="22"/>
              </w:rPr>
              <w:t xml:space="preserve"> access support from Children’s Social Care, Behaviour Support, and Teachers for Hearing and Visually Impaired (Oxfordshire County Council). </w:t>
            </w:r>
          </w:p>
        </w:tc>
      </w:tr>
    </w:tbl>
    <w:p w14:paraId="615A0DE1" w14:textId="77777777" w:rsidR="00123688" w:rsidRDefault="00123688" w:rsidP="008164FC">
      <w:pPr>
        <w:pBdr>
          <w:top w:val="nil"/>
          <w:left w:val="nil"/>
          <w:bottom w:val="nil"/>
          <w:right w:val="nil"/>
          <w:between w:val="nil"/>
        </w:pBdr>
        <w:spacing w:before="120" w:line="288" w:lineRule="auto"/>
        <w:ind w:left="720"/>
        <w:rPr>
          <w:b/>
          <w:color w:val="000000"/>
          <w:sz w:val="22"/>
          <w:szCs w:val="22"/>
        </w:rPr>
      </w:pPr>
      <w:bookmarkStart w:id="0" w:name="_heading=h.gjdgxs" w:colFirst="0" w:colLast="0"/>
      <w:bookmarkEnd w:id="0"/>
    </w:p>
    <w:p w14:paraId="0414739B" w14:textId="77777777" w:rsidR="00123688" w:rsidRDefault="004465CD" w:rsidP="00120568">
      <w:pPr>
        <w:rPr>
          <w:b/>
          <w:sz w:val="28"/>
          <w:szCs w:val="28"/>
        </w:rPr>
      </w:pPr>
      <w:r>
        <w:rPr>
          <w:b/>
          <w:sz w:val="28"/>
          <w:szCs w:val="28"/>
        </w:rPr>
        <w:t>Admissions Indicators:</w:t>
      </w:r>
    </w:p>
    <w:tbl>
      <w:tblPr>
        <w:tblStyle w:val="3"/>
        <w:tblW w:w="9351" w:type="dxa"/>
        <w:tblLayout w:type="fixed"/>
        <w:tblLook w:val="0000" w:firstRow="0" w:lastRow="0" w:firstColumn="0" w:lastColumn="0" w:noHBand="0" w:noVBand="0"/>
      </w:tblPr>
      <w:tblGrid>
        <w:gridCol w:w="9351"/>
      </w:tblGrid>
      <w:tr w:rsidR="00123688" w14:paraId="478FC202" w14:textId="77777777">
        <w:tc>
          <w:tcPr>
            <w:tcW w:w="93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FA3A161" w14:textId="77777777" w:rsidR="00123688" w:rsidRDefault="004465CD" w:rsidP="008164FC">
            <w:pPr>
              <w:spacing w:before="60" w:after="60" w:line="288" w:lineRule="auto"/>
              <w:ind w:left="29"/>
              <w:rPr>
                <w:b/>
                <w:sz w:val="22"/>
                <w:szCs w:val="22"/>
              </w:rPr>
            </w:pPr>
            <w:r>
              <w:rPr>
                <w:b/>
                <w:sz w:val="22"/>
                <w:szCs w:val="22"/>
              </w:rPr>
              <w:t>A. Child / Young Persons Views and Parental Preference</w:t>
            </w:r>
          </w:p>
          <w:p w14:paraId="6372D62F" w14:textId="77777777" w:rsidR="00123688" w:rsidRDefault="004465CD" w:rsidP="008164FC">
            <w:pPr>
              <w:spacing w:before="60" w:after="60" w:line="288" w:lineRule="auto"/>
              <w:ind w:left="29"/>
            </w:pPr>
            <w:r>
              <w:rPr>
                <w:color w:val="0070C0"/>
                <w:sz w:val="16"/>
                <w:szCs w:val="16"/>
              </w:rPr>
              <w:t>The views of the child or young person and parental preference are considered subject to the provision being appropriate to the age, ability, aptitude and special educational needs of the pupil</w:t>
            </w:r>
          </w:p>
        </w:tc>
      </w:tr>
      <w:tr w:rsidR="004210FD" w14:paraId="0AD63E52" w14:textId="77777777" w:rsidTr="004210FD">
        <w:trPr>
          <w:trHeight w:val="5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A702" w14:textId="77777777" w:rsidR="004210FD" w:rsidRDefault="004210FD" w:rsidP="008164FC">
            <w:pPr>
              <w:numPr>
                <w:ilvl w:val="0"/>
                <w:numId w:val="1"/>
              </w:numPr>
              <w:pBdr>
                <w:top w:val="nil"/>
                <w:left w:val="nil"/>
                <w:bottom w:val="nil"/>
                <w:right w:val="nil"/>
                <w:between w:val="nil"/>
              </w:pBdr>
              <w:spacing w:before="60" w:after="60" w:line="288" w:lineRule="auto"/>
              <w:ind w:left="457"/>
              <w:rPr>
                <w:color w:val="000000"/>
                <w:sz w:val="20"/>
                <w:szCs w:val="20"/>
              </w:rPr>
            </w:pPr>
            <w:r>
              <w:rPr>
                <w:color w:val="000000"/>
                <w:sz w:val="22"/>
                <w:szCs w:val="22"/>
              </w:rPr>
              <w:t>The parents or carers have expressed a reasoned and well-informed preference for this type of provision.</w:t>
            </w:r>
          </w:p>
        </w:tc>
      </w:tr>
      <w:tr w:rsidR="004210FD" w14:paraId="6DB3FB16" w14:textId="77777777" w:rsidTr="004210FD">
        <w:trPr>
          <w:trHeight w:val="5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97F2" w14:textId="77777777" w:rsidR="004210FD" w:rsidRDefault="004210FD" w:rsidP="008164FC">
            <w:pPr>
              <w:numPr>
                <w:ilvl w:val="0"/>
                <w:numId w:val="1"/>
              </w:numPr>
              <w:pBdr>
                <w:top w:val="nil"/>
                <w:left w:val="nil"/>
                <w:bottom w:val="nil"/>
                <w:right w:val="nil"/>
                <w:between w:val="nil"/>
              </w:pBdr>
              <w:spacing w:before="60" w:after="60" w:line="288" w:lineRule="auto"/>
              <w:ind w:left="457"/>
              <w:rPr>
                <w:color w:val="000000"/>
                <w:sz w:val="20"/>
                <w:szCs w:val="20"/>
              </w:rPr>
            </w:pPr>
            <w:r>
              <w:rPr>
                <w:color w:val="000000"/>
                <w:sz w:val="22"/>
                <w:szCs w:val="22"/>
              </w:rPr>
              <w:t xml:space="preserve">Admission to the school is consistent with the child or young person’s views and aspirations as set out in the EHCP </w:t>
            </w:r>
          </w:p>
        </w:tc>
      </w:tr>
      <w:tr w:rsidR="00123688" w14:paraId="1F69070F" w14:textId="77777777">
        <w:tc>
          <w:tcPr>
            <w:tcW w:w="93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CB463E5" w14:textId="77777777" w:rsidR="00123688" w:rsidRDefault="004465CD" w:rsidP="008164FC">
            <w:pPr>
              <w:spacing w:before="60" w:after="60" w:line="288" w:lineRule="auto"/>
              <w:ind w:left="29"/>
              <w:rPr>
                <w:b/>
                <w:sz w:val="22"/>
                <w:szCs w:val="22"/>
              </w:rPr>
            </w:pPr>
            <w:r>
              <w:rPr>
                <w:b/>
                <w:sz w:val="22"/>
                <w:szCs w:val="22"/>
              </w:rPr>
              <w:t>B. Special Educational Needs</w:t>
            </w:r>
          </w:p>
        </w:tc>
      </w:tr>
      <w:tr w:rsidR="004210FD" w14:paraId="5F185CC2" w14:textId="77777777" w:rsidTr="004210FD">
        <w:trPr>
          <w:trHeight w:val="59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8D23" w14:textId="77777777" w:rsidR="004210FD" w:rsidRDefault="004210FD" w:rsidP="008164FC">
            <w:pPr>
              <w:numPr>
                <w:ilvl w:val="0"/>
                <w:numId w:val="2"/>
              </w:numPr>
              <w:pBdr>
                <w:top w:val="nil"/>
                <w:left w:val="nil"/>
                <w:bottom w:val="nil"/>
                <w:right w:val="nil"/>
                <w:between w:val="nil"/>
              </w:pBdr>
              <w:spacing w:before="60" w:after="60" w:line="288" w:lineRule="auto"/>
              <w:ind w:left="457"/>
              <w:rPr>
                <w:color w:val="000000"/>
                <w:sz w:val="20"/>
                <w:szCs w:val="20"/>
              </w:rPr>
            </w:pPr>
            <w:r>
              <w:rPr>
                <w:color w:val="000000"/>
                <w:sz w:val="22"/>
                <w:szCs w:val="22"/>
              </w:rPr>
              <w:t>The pupil has an EHC Plan which indicates that Social, Emotional and Mental Health needs are the primary barrier to learning at the present time.</w:t>
            </w:r>
          </w:p>
        </w:tc>
      </w:tr>
      <w:tr w:rsidR="004210FD" w14:paraId="21B7A36D" w14:textId="77777777" w:rsidTr="004210FD">
        <w:trPr>
          <w:trHeight w:val="59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B7264" w14:textId="77777777" w:rsidR="004210FD" w:rsidRDefault="004210FD" w:rsidP="008164FC">
            <w:pPr>
              <w:numPr>
                <w:ilvl w:val="0"/>
                <w:numId w:val="2"/>
              </w:numPr>
              <w:pBdr>
                <w:top w:val="nil"/>
                <w:left w:val="nil"/>
                <w:bottom w:val="nil"/>
                <w:right w:val="nil"/>
                <w:between w:val="nil"/>
              </w:pBdr>
              <w:spacing w:before="60" w:after="60" w:line="288" w:lineRule="auto"/>
              <w:ind w:left="457"/>
              <w:rPr>
                <w:color w:val="000000"/>
                <w:sz w:val="20"/>
                <w:szCs w:val="20"/>
              </w:rPr>
            </w:pPr>
            <w:r>
              <w:rPr>
                <w:color w:val="000000"/>
                <w:sz w:val="22"/>
                <w:szCs w:val="22"/>
              </w:rPr>
              <w:t>There is evidence that the pupil’s SEN represent a long-term barrier to learning.</w:t>
            </w:r>
          </w:p>
        </w:tc>
      </w:tr>
      <w:tr w:rsidR="004210FD" w14:paraId="4A110E9A" w14:textId="77777777" w:rsidTr="004210FD">
        <w:trPr>
          <w:trHeight w:val="59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43C0" w14:textId="77777777" w:rsidR="004210FD" w:rsidRDefault="004210FD" w:rsidP="008164FC">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The pupil requires full-time adult support across the school day in a mainstream setting but despite this level of support is unable to participate in whole class learning. Or the pupil has a reduced timetable in place and is unable to manage a whole day at school.</w:t>
            </w:r>
          </w:p>
        </w:tc>
      </w:tr>
      <w:tr w:rsidR="004210FD" w14:paraId="4A648FDB" w14:textId="77777777" w:rsidTr="004210FD">
        <w:trPr>
          <w:trHeight w:val="59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18EB" w14:textId="77777777" w:rsidR="004210FD" w:rsidRDefault="004210FD" w:rsidP="008164FC">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The pupil has been unable to participate consistently in whole class learning for more than four terms or failed to thrive and make progress in/been permanently excluded from two previous settings.</w:t>
            </w:r>
          </w:p>
        </w:tc>
      </w:tr>
      <w:tr w:rsidR="004210FD" w14:paraId="4D848827" w14:textId="77777777" w:rsidTr="004210FD">
        <w:trPr>
          <w:trHeight w:val="59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AFB6" w14:textId="7A2369A2" w:rsidR="004210FD" w:rsidRDefault="004210FD" w:rsidP="008164FC">
            <w:pPr>
              <w:numPr>
                <w:ilvl w:val="0"/>
                <w:numId w:val="2"/>
              </w:numPr>
              <w:pBdr>
                <w:top w:val="nil"/>
                <w:left w:val="nil"/>
                <w:bottom w:val="nil"/>
                <w:right w:val="nil"/>
                <w:between w:val="nil"/>
              </w:pBdr>
              <w:spacing w:before="60" w:after="60" w:line="288" w:lineRule="auto"/>
              <w:ind w:left="457"/>
              <w:rPr>
                <w:color w:val="000000"/>
                <w:sz w:val="22"/>
                <w:szCs w:val="22"/>
              </w:rPr>
            </w:pPr>
            <w:r>
              <w:rPr>
                <w:color w:val="000000"/>
                <w:sz w:val="22"/>
                <w:szCs w:val="22"/>
              </w:rPr>
              <w:t xml:space="preserve">The pupil has severe, persistent and complex SEMH </w:t>
            </w:r>
            <w:proofErr w:type="gramStart"/>
            <w:r>
              <w:rPr>
                <w:color w:val="000000"/>
                <w:sz w:val="22"/>
                <w:szCs w:val="22"/>
              </w:rPr>
              <w:t>needs</w:t>
            </w:r>
            <w:proofErr w:type="gramEnd"/>
            <w:r>
              <w:rPr>
                <w:color w:val="000000"/>
                <w:sz w:val="22"/>
                <w:szCs w:val="22"/>
              </w:rPr>
              <w:t xml:space="preserve"> and the evidence will indicate most of the following:</w:t>
            </w:r>
          </w:p>
          <w:p w14:paraId="1C34913E" w14:textId="77777777"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Behaviour that may present as aggressive</w:t>
            </w:r>
            <w:r>
              <w:rPr>
                <w:sz w:val="22"/>
                <w:szCs w:val="22"/>
              </w:rPr>
              <w:t xml:space="preserve">, either threats to harm or causing actual harm to others </w:t>
            </w:r>
          </w:p>
          <w:p w14:paraId="27B4ACE0" w14:textId="77777777"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sz w:val="22"/>
                <w:szCs w:val="22"/>
              </w:rPr>
              <w:t xml:space="preserve">Behaviours which </w:t>
            </w:r>
            <w:r>
              <w:rPr>
                <w:color w:val="000000"/>
                <w:sz w:val="22"/>
                <w:szCs w:val="22"/>
              </w:rPr>
              <w:t>may increasingly require physical intervention.</w:t>
            </w:r>
          </w:p>
          <w:p w14:paraId="3ECE2724" w14:textId="096960B9" w:rsidR="004210FD" w:rsidRPr="00AE7796" w:rsidRDefault="004210FD" w:rsidP="00AE7796">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A</w:t>
            </w:r>
            <w:r>
              <w:rPr>
                <w:sz w:val="22"/>
                <w:szCs w:val="22"/>
              </w:rPr>
              <w:t xml:space="preserve"> </w:t>
            </w:r>
            <w:r>
              <w:rPr>
                <w:color w:val="000000"/>
                <w:sz w:val="22"/>
                <w:szCs w:val="22"/>
              </w:rPr>
              <w:t xml:space="preserve">risk assessment of </w:t>
            </w:r>
            <w:r>
              <w:rPr>
                <w:sz w:val="22"/>
                <w:szCs w:val="22"/>
              </w:rPr>
              <w:t>causing harm</w:t>
            </w:r>
            <w:r>
              <w:rPr>
                <w:color w:val="000000"/>
                <w:sz w:val="22"/>
                <w:szCs w:val="22"/>
              </w:rPr>
              <w:t xml:space="preserve"> or damage to </w:t>
            </w:r>
            <w:r w:rsidRPr="00AE7796">
              <w:rPr>
                <w:color w:val="000000"/>
                <w:sz w:val="22"/>
                <w:szCs w:val="22"/>
              </w:rPr>
              <w:t>property.</w:t>
            </w:r>
          </w:p>
          <w:p w14:paraId="4155F1EC" w14:textId="1C7C87E3" w:rsidR="004210FD" w:rsidRPr="004210FD" w:rsidRDefault="004210FD" w:rsidP="00D12B81">
            <w:pPr>
              <w:numPr>
                <w:ilvl w:val="0"/>
                <w:numId w:val="9"/>
              </w:numPr>
              <w:pBdr>
                <w:top w:val="nil"/>
                <w:left w:val="nil"/>
                <w:bottom w:val="nil"/>
                <w:right w:val="nil"/>
                <w:between w:val="nil"/>
              </w:pBdr>
              <w:spacing w:before="60" w:after="60" w:line="288" w:lineRule="auto"/>
              <w:ind w:left="714" w:hanging="357"/>
              <w:rPr>
                <w:color w:val="000000"/>
                <w:sz w:val="22"/>
                <w:szCs w:val="22"/>
              </w:rPr>
            </w:pPr>
            <w:r>
              <w:rPr>
                <w:color w:val="000000"/>
                <w:sz w:val="22"/>
                <w:szCs w:val="22"/>
              </w:rPr>
              <w:lastRenderedPageBreak/>
              <w:t xml:space="preserve">A significant impact on the school community: for example, staff </w:t>
            </w:r>
            <w:r w:rsidRPr="004210FD">
              <w:rPr>
                <w:color w:val="000000"/>
                <w:sz w:val="22"/>
                <w:szCs w:val="22"/>
              </w:rPr>
              <w:t xml:space="preserve">stress and </w:t>
            </w:r>
            <w:r w:rsidRPr="004210FD">
              <w:rPr>
                <w:sz w:val="22"/>
                <w:szCs w:val="22"/>
              </w:rPr>
              <w:t>anxiety</w:t>
            </w:r>
            <w:r w:rsidRPr="004210FD">
              <w:rPr>
                <w:color w:val="000000"/>
                <w:sz w:val="22"/>
                <w:szCs w:val="22"/>
              </w:rPr>
              <w:t>, distressed peers, preventing learning of others.</w:t>
            </w:r>
          </w:p>
          <w:p w14:paraId="336E7F1C" w14:textId="77777777"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Extreme hyperactivity, impulsivity and/or lack of concentration.</w:t>
            </w:r>
          </w:p>
          <w:p w14:paraId="2B04C05F" w14:textId="2CECD045" w:rsidR="004210FD" w:rsidRPr="004210FD" w:rsidRDefault="004210FD" w:rsidP="004210F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 xml:space="preserve">Behaviour that can be defiant and/or non-compliant with an </w:t>
            </w:r>
            <w:r w:rsidRPr="004210FD">
              <w:rPr>
                <w:color w:val="000000"/>
                <w:sz w:val="22"/>
                <w:szCs w:val="22"/>
              </w:rPr>
              <w:t>inability to take responsibility for their actions.</w:t>
            </w:r>
          </w:p>
          <w:p w14:paraId="00121EFF" w14:textId="40FC064E" w:rsidR="004210FD" w:rsidRPr="008164FC" w:rsidRDefault="004210FD" w:rsidP="008164FC">
            <w:pPr>
              <w:numPr>
                <w:ilvl w:val="0"/>
                <w:numId w:val="9"/>
              </w:numPr>
              <w:pBdr>
                <w:top w:val="nil"/>
                <w:left w:val="nil"/>
                <w:bottom w:val="nil"/>
                <w:right w:val="nil"/>
                <w:between w:val="nil"/>
              </w:pBdr>
              <w:spacing w:before="60" w:after="60" w:line="288" w:lineRule="auto"/>
              <w:rPr>
                <w:color w:val="000000" w:themeColor="text1"/>
                <w:sz w:val="22"/>
                <w:szCs w:val="22"/>
              </w:rPr>
            </w:pPr>
            <w:r w:rsidRPr="008164FC">
              <w:rPr>
                <w:color w:val="000000" w:themeColor="text1"/>
                <w:sz w:val="22"/>
                <w:szCs w:val="22"/>
              </w:rPr>
              <w:t>A growing disengagement with education</w:t>
            </w:r>
          </w:p>
          <w:p w14:paraId="588C9E29" w14:textId="04016E65" w:rsidR="004210FD" w:rsidRPr="008164FC"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 xml:space="preserve">Behaviour which is frequently challenging </w:t>
            </w:r>
            <w:r w:rsidR="00120568">
              <w:rPr>
                <w:color w:val="000000"/>
                <w:sz w:val="22"/>
                <w:szCs w:val="22"/>
              </w:rPr>
              <w:t>and</w:t>
            </w:r>
            <w:r>
              <w:rPr>
                <w:color w:val="000000"/>
                <w:sz w:val="22"/>
                <w:szCs w:val="22"/>
              </w:rPr>
              <w:t xml:space="preserve"> that is evident in </w:t>
            </w:r>
            <w:r w:rsidRPr="008164FC">
              <w:rPr>
                <w:color w:val="000000"/>
                <w:sz w:val="22"/>
                <w:szCs w:val="22"/>
              </w:rPr>
              <w:t>more than one setting and with a variety of adults and peers.</w:t>
            </w:r>
          </w:p>
          <w:p w14:paraId="259C6CAE" w14:textId="77777777"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Low or inappropriate self-esteem and inability to accept praise.</w:t>
            </w:r>
          </w:p>
          <w:p w14:paraId="7D020442" w14:textId="77777777"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A fear of learning and inability to access teaching.</w:t>
            </w:r>
          </w:p>
          <w:p w14:paraId="516A48E5" w14:textId="0CB64D0F"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Extreme negative reactions to changes of routine, activity, or everyday</w:t>
            </w:r>
          </w:p>
          <w:p w14:paraId="757B48D6" w14:textId="77777777" w:rsidR="004210FD" w:rsidRDefault="004210FD" w:rsidP="008164FC">
            <w:pPr>
              <w:pBdr>
                <w:top w:val="nil"/>
                <w:left w:val="nil"/>
                <w:bottom w:val="nil"/>
                <w:right w:val="nil"/>
                <w:between w:val="nil"/>
              </w:pBdr>
              <w:spacing w:before="60" w:after="60" w:line="288" w:lineRule="auto"/>
              <w:ind w:left="720"/>
              <w:rPr>
                <w:color w:val="000000"/>
                <w:sz w:val="22"/>
                <w:szCs w:val="22"/>
              </w:rPr>
            </w:pPr>
            <w:r>
              <w:rPr>
                <w:color w:val="000000"/>
                <w:sz w:val="22"/>
                <w:szCs w:val="22"/>
              </w:rPr>
              <w:t>disappointments.</w:t>
            </w:r>
          </w:p>
          <w:p w14:paraId="25856507" w14:textId="15A43941" w:rsidR="004210FD" w:rsidRPr="004210FD" w:rsidRDefault="004210FD" w:rsidP="004210FD">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 xml:space="preserve">Inappropriate social interactions, isolation, unhappiness, inability </w:t>
            </w:r>
            <w:r w:rsidRPr="004210FD">
              <w:rPr>
                <w:color w:val="000000"/>
                <w:sz w:val="22"/>
                <w:szCs w:val="22"/>
              </w:rPr>
              <w:t>to empathise and poor relationships with peers.</w:t>
            </w:r>
          </w:p>
          <w:p w14:paraId="09817F2F" w14:textId="5A168207" w:rsidR="004210FD"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Evidence of ongoing challenge with risk-taking behaviours</w:t>
            </w:r>
          </w:p>
          <w:p w14:paraId="4316A7F3" w14:textId="63618D84" w:rsidR="004210FD" w:rsidRPr="008164FC" w:rsidRDefault="004210FD" w:rsidP="008164FC">
            <w:pPr>
              <w:numPr>
                <w:ilvl w:val="0"/>
                <w:numId w:val="9"/>
              </w:numPr>
              <w:pBdr>
                <w:top w:val="nil"/>
                <w:left w:val="nil"/>
                <w:bottom w:val="nil"/>
                <w:right w:val="nil"/>
                <w:between w:val="nil"/>
              </w:pBdr>
              <w:spacing w:before="60" w:after="60" w:line="288" w:lineRule="auto"/>
              <w:rPr>
                <w:color w:val="000000"/>
                <w:sz w:val="22"/>
                <w:szCs w:val="22"/>
              </w:rPr>
            </w:pPr>
            <w:r>
              <w:rPr>
                <w:color w:val="000000"/>
                <w:sz w:val="22"/>
                <w:szCs w:val="22"/>
              </w:rPr>
              <w:t>Risk of absconding from the school site</w:t>
            </w:r>
          </w:p>
        </w:tc>
      </w:tr>
      <w:tr w:rsidR="00123688" w14:paraId="4683F26B" w14:textId="77777777">
        <w:tc>
          <w:tcPr>
            <w:tcW w:w="93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068223F" w14:textId="77777777" w:rsidR="00123688" w:rsidRDefault="004465CD" w:rsidP="008164FC">
            <w:pPr>
              <w:spacing w:before="80" w:after="80" w:line="288" w:lineRule="auto"/>
              <w:ind w:left="29"/>
              <w:rPr>
                <w:b/>
                <w:sz w:val="22"/>
                <w:szCs w:val="22"/>
              </w:rPr>
            </w:pPr>
            <w:r>
              <w:rPr>
                <w:b/>
                <w:sz w:val="22"/>
                <w:szCs w:val="22"/>
              </w:rPr>
              <w:lastRenderedPageBreak/>
              <w:t>C. Age</w:t>
            </w:r>
          </w:p>
          <w:p w14:paraId="65F6C22C" w14:textId="77777777" w:rsidR="00123688" w:rsidRDefault="004465CD" w:rsidP="008164FC">
            <w:pPr>
              <w:spacing w:before="80" w:after="80" w:line="288" w:lineRule="auto"/>
              <w:ind w:left="29"/>
            </w:pPr>
            <w:r>
              <w:rPr>
                <w:color w:val="0070C0"/>
                <w:sz w:val="16"/>
                <w:szCs w:val="16"/>
              </w:rPr>
              <w:t>Pupils educated out of their year group will typically revert to their chronological year group on admission to specialist or enhanced provision.</w:t>
            </w:r>
          </w:p>
        </w:tc>
      </w:tr>
      <w:tr w:rsidR="004210FD" w14:paraId="2C224091" w14:textId="77777777" w:rsidTr="004210FD">
        <w:trPr>
          <w:trHeight w:val="394"/>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C3F1" w14:textId="582B094A" w:rsidR="004210FD" w:rsidRDefault="004210FD" w:rsidP="008164FC">
            <w:pPr>
              <w:numPr>
                <w:ilvl w:val="0"/>
                <w:numId w:val="3"/>
              </w:numPr>
              <w:pBdr>
                <w:top w:val="nil"/>
                <w:left w:val="nil"/>
                <w:bottom w:val="nil"/>
                <w:right w:val="nil"/>
                <w:between w:val="nil"/>
              </w:pBdr>
              <w:spacing w:before="80" w:after="80" w:line="288" w:lineRule="auto"/>
              <w:ind w:left="457"/>
              <w:rPr>
                <w:color w:val="000000"/>
                <w:sz w:val="22"/>
                <w:szCs w:val="22"/>
              </w:rPr>
            </w:pPr>
            <w:r>
              <w:rPr>
                <w:color w:val="000000"/>
                <w:sz w:val="22"/>
                <w:szCs w:val="22"/>
              </w:rPr>
              <w:t xml:space="preserve">The admission request is for a child aged 10-18 in Key Stages 2 (Year 6 only), 3, 4 or 5 (post-16). </w:t>
            </w:r>
            <w:r w:rsidRPr="008164FC">
              <w:rPr>
                <w:i/>
                <w:iCs/>
                <w:color w:val="000000"/>
                <w:sz w:val="22"/>
                <w:szCs w:val="22"/>
              </w:rPr>
              <w:t>KS2 and KS5 provision will only operate if there is demand and capacity within the school’s planned admission number</w:t>
            </w:r>
          </w:p>
        </w:tc>
      </w:tr>
      <w:tr w:rsidR="004210FD" w14:paraId="36118D72" w14:textId="77777777" w:rsidTr="004210FD">
        <w:trPr>
          <w:trHeight w:val="393"/>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C36F" w14:textId="77777777" w:rsidR="004210FD" w:rsidRDefault="004210FD" w:rsidP="008164FC">
            <w:pPr>
              <w:numPr>
                <w:ilvl w:val="0"/>
                <w:numId w:val="3"/>
              </w:numPr>
              <w:pBdr>
                <w:top w:val="nil"/>
                <w:left w:val="nil"/>
                <w:bottom w:val="nil"/>
                <w:right w:val="nil"/>
                <w:between w:val="nil"/>
              </w:pBdr>
              <w:spacing w:before="80" w:after="80" w:line="288" w:lineRule="auto"/>
              <w:ind w:left="457"/>
              <w:rPr>
                <w:color w:val="000000"/>
                <w:sz w:val="22"/>
                <w:szCs w:val="22"/>
              </w:rPr>
            </w:pPr>
            <w:r>
              <w:rPr>
                <w:color w:val="000000"/>
                <w:sz w:val="22"/>
                <w:szCs w:val="22"/>
              </w:rPr>
              <w:t>Consideration will be given to the stage of education and transition points for this pupil.</w:t>
            </w:r>
          </w:p>
        </w:tc>
      </w:tr>
      <w:tr w:rsidR="00123688" w14:paraId="3F6D0C8A" w14:textId="77777777">
        <w:tc>
          <w:tcPr>
            <w:tcW w:w="93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A6C13F2" w14:textId="77777777" w:rsidR="00123688" w:rsidRDefault="004465CD" w:rsidP="008164FC">
            <w:pPr>
              <w:spacing w:before="80" w:after="80" w:line="288" w:lineRule="auto"/>
              <w:ind w:left="29"/>
              <w:rPr>
                <w:b/>
                <w:sz w:val="22"/>
                <w:szCs w:val="22"/>
              </w:rPr>
            </w:pPr>
            <w:r>
              <w:rPr>
                <w:b/>
                <w:sz w:val="22"/>
                <w:szCs w:val="22"/>
              </w:rPr>
              <w:t>D. Ability</w:t>
            </w:r>
          </w:p>
          <w:p w14:paraId="7F461A54" w14:textId="77777777" w:rsidR="00123688" w:rsidRDefault="004465CD" w:rsidP="008164FC">
            <w:pPr>
              <w:spacing w:before="80" w:after="80" w:line="288" w:lineRule="auto"/>
              <w:ind w:left="29"/>
              <w:rPr>
                <w:color w:val="0070C0"/>
                <w:sz w:val="16"/>
                <w:szCs w:val="16"/>
              </w:rPr>
            </w:pPr>
            <w:r>
              <w:rPr>
                <w:color w:val="0070C0"/>
                <w:sz w:val="16"/>
                <w:szCs w:val="16"/>
              </w:rPr>
              <w:t>Use this section to describe the cognitive ability or learning levels required for the child to access the curriculum offer in this provision</w:t>
            </w:r>
          </w:p>
        </w:tc>
      </w:tr>
      <w:tr w:rsidR="004210FD" w14:paraId="39FA2189" w14:textId="77777777" w:rsidTr="004210FD">
        <w:trPr>
          <w:trHeight w:val="708"/>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E5EB" w14:textId="77777777" w:rsidR="004210FD" w:rsidRDefault="004210FD" w:rsidP="008164FC">
            <w:pPr>
              <w:numPr>
                <w:ilvl w:val="0"/>
                <w:numId w:val="4"/>
              </w:numPr>
              <w:pBdr>
                <w:top w:val="nil"/>
                <w:left w:val="nil"/>
                <w:bottom w:val="nil"/>
                <w:right w:val="nil"/>
                <w:between w:val="nil"/>
              </w:pBdr>
              <w:spacing w:before="80" w:after="80" w:line="288" w:lineRule="auto"/>
              <w:ind w:left="457"/>
              <w:rPr>
                <w:color w:val="000000"/>
                <w:sz w:val="22"/>
                <w:szCs w:val="22"/>
              </w:rPr>
            </w:pPr>
            <w:r>
              <w:rPr>
                <w:color w:val="000000"/>
                <w:sz w:val="22"/>
                <w:szCs w:val="22"/>
              </w:rPr>
              <w:t>The pupil is of average learning ability and achieving learning levels broadly within the range expected for their age (some pupils may have a Specific Learning Difficulty (</w:t>
            </w:r>
            <w:proofErr w:type="spellStart"/>
            <w:r>
              <w:rPr>
                <w:color w:val="000000"/>
                <w:sz w:val="22"/>
                <w:szCs w:val="22"/>
              </w:rPr>
              <w:t>SpLD</w:t>
            </w:r>
            <w:proofErr w:type="spellEnd"/>
            <w:r>
              <w:rPr>
                <w:color w:val="000000"/>
                <w:sz w:val="22"/>
                <w:szCs w:val="22"/>
              </w:rPr>
              <w:t>) resulting in an uneven attainment profile)</w:t>
            </w:r>
          </w:p>
        </w:tc>
      </w:tr>
      <w:tr w:rsidR="004210FD" w14:paraId="2148AA18" w14:textId="77777777" w:rsidTr="004210FD">
        <w:trPr>
          <w:trHeight w:val="708"/>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5CBC" w14:textId="77777777" w:rsidR="004210FD" w:rsidRDefault="004210FD" w:rsidP="008164FC">
            <w:pPr>
              <w:numPr>
                <w:ilvl w:val="0"/>
                <w:numId w:val="4"/>
              </w:numPr>
              <w:pBdr>
                <w:top w:val="nil"/>
                <w:left w:val="nil"/>
                <w:bottom w:val="nil"/>
                <w:right w:val="nil"/>
                <w:between w:val="nil"/>
              </w:pBdr>
              <w:spacing w:before="80" w:after="80" w:line="288" w:lineRule="auto"/>
              <w:ind w:left="457"/>
              <w:rPr>
                <w:color w:val="000000"/>
                <w:sz w:val="22"/>
                <w:szCs w:val="22"/>
              </w:rPr>
            </w:pPr>
            <w:r>
              <w:rPr>
                <w:color w:val="000000"/>
                <w:sz w:val="22"/>
                <w:szCs w:val="22"/>
              </w:rPr>
              <w:t>The pupil is of average learning ability but is achieving learning levels 2-3 years below age-related expectations having made slow academic progress due to the impact of their SEMH needs.</w:t>
            </w:r>
          </w:p>
        </w:tc>
      </w:tr>
      <w:tr w:rsidR="00123688" w14:paraId="6A3A92C3" w14:textId="77777777">
        <w:tc>
          <w:tcPr>
            <w:tcW w:w="93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BB21F93" w14:textId="77777777" w:rsidR="00123688" w:rsidRDefault="004465CD" w:rsidP="008164FC">
            <w:pPr>
              <w:pBdr>
                <w:top w:val="nil"/>
                <w:left w:val="nil"/>
                <w:bottom w:val="nil"/>
                <w:right w:val="nil"/>
                <w:between w:val="nil"/>
              </w:pBdr>
              <w:spacing w:before="60" w:after="60" w:line="288" w:lineRule="auto"/>
              <w:rPr>
                <w:b/>
                <w:color w:val="000000"/>
                <w:sz w:val="22"/>
                <w:szCs w:val="22"/>
              </w:rPr>
            </w:pPr>
            <w:r>
              <w:rPr>
                <w:b/>
                <w:color w:val="000000"/>
                <w:sz w:val="22"/>
                <w:szCs w:val="22"/>
              </w:rPr>
              <w:t>E. Aptitude</w:t>
            </w:r>
          </w:p>
          <w:p w14:paraId="7B7247D4" w14:textId="77777777" w:rsidR="00123688" w:rsidRDefault="004465CD" w:rsidP="008164FC">
            <w:pPr>
              <w:spacing w:before="60" w:after="60" w:line="288" w:lineRule="auto"/>
              <w:ind w:left="29"/>
              <w:rPr>
                <w:b/>
                <w:color w:val="FF0000"/>
                <w:sz w:val="22"/>
                <w:szCs w:val="22"/>
              </w:rPr>
            </w:pPr>
            <w:r>
              <w:rPr>
                <w:color w:val="0070C0"/>
                <w:sz w:val="16"/>
                <w:szCs w:val="16"/>
              </w:rPr>
              <w:t xml:space="preserve">Use this section to describe indicators relating to any specific sensory provision, attitude to learning, ability to </w:t>
            </w:r>
            <w:r>
              <w:rPr>
                <w:color w:val="0070C0"/>
                <w:sz w:val="16"/>
                <w:szCs w:val="16"/>
              </w:rPr>
              <w:t>access inclusion in mainstream lessons for Enhanced provision only and access to the social inclusion opportunities offered in this provision.</w:t>
            </w:r>
          </w:p>
        </w:tc>
      </w:tr>
      <w:tr w:rsidR="004210FD" w14:paraId="068EDD7C"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41B1" w14:textId="7777777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0"/>
                <w:szCs w:val="20"/>
              </w:rPr>
            </w:pPr>
            <w:r>
              <w:rPr>
                <w:color w:val="000000"/>
                <w:sz w:val="22"/>
                <w:szCs w:val="22"/>
              </w:rPr>
              <w:t>The pupil requires teaching to be delivered in a small group learning environment.</w:t>
            </w:r>
          </w:p>
        </w:tc>
      </w:tr>
      <w:tr w:rsidR="004210FD" w14:paraId="4EF865DF"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37F2B" w14:textId="7777777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0"/>
                <w:szCs w:val="20"/>
              </w:rPr>
            </w:pPr>
            <w:r>
              <w:rPr>
                <w:color w:val="000000"/>
                <w:sz w:val="22"/>
                <w:szCs w:val="22"/>
              </w:rPr>
              <w:t>The pupil requires specialised behavioural and cognitive approaches to meet their SEN.</w:t>
            </w:r>
          </w:p>
        </w:tc>
      </w:tr>
      <w:tr w:rsidR="004210FD" w14:paraId="024E0DFC"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9018B" w14:textId="7777777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0"/>
                <w:szCs w:val="20"/>
              </w:rPr>
            </w:pPr>
            <w:r>
              <w:rPr>
                <w:color w:val="000000"/>
                <w:sz w:val="22"/>
                <w:szCs w:val="22"/>
              </w:rPr>
              <w:t>The pupil would have a suitable peer group from within the current cohort from which they could form meaningful relationships with.</w:t>
            </w:r>
          </w:p>
        </w:tc>
      </w:tr>
      <w:tr w:rsidR="004210FD" w14:paraId="47908439"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B387E" w14:textId="7777777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0"/>
                <w:szCs w:val="20"/>
              </w:rPr>
            </w:pPr>
            <w:r>
              <w:rPr>
                <w:color w:val="000000"/>
                <w:sz w:val="22"/>
                <w:szCs w:val="22"/>
              </w:rPr>
              <w:lastRenderedPageBreak/>
              <w:t xml:space="preserve">The pupil requires a flexible and creative approach that would be additional to and/or different from their mainstream peers </w:t>
            </w:r>
            <w:proofErr w:type="gramStart"/>
            <w:r>
              <w:rPr>
                <w:color w:val="000000"/>
                <w:sz w:val="22"/>
                <w:szCs w:val="22"/>
              </w:rPr>
              <w:t>in order to</w:t>
            </w:r>
            <w:proofErr w:type="gramEnd"/>
            <w:r>
              <w:rPr>
                <w:color w:val="000000"/>
                <w:sz w:val="22"/>
                <w:szCs w:val="22"/>
              </w:rPr>
              <w:t xml:space="preserve"> access the curriculum and make progress.</w:t>
            </w:r>
          </w:p>
        </w:tc>
      </w:tr>
      <w:tr w:rsidR="004210FD" w14:paraId="12C83C63"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D5EF5" w14:textId="7777777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pupil requires explicit and implicit support to develop appropriate social interaction and positive relationships.</w:t>
            </w:r>
          </w:p>
        </w:tc>
      </w:tr>
      <w:tr w:rsidR="004210FD" w14:paraId="2543ECB1"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154B1" w14:textId="7777777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pupil requires support to develop skills for independent learning.</w:t>
            </w:r>
          </w:p>
        </w:tc>
      </w:tr>
      <w:tr w:rsidR="004210FD" w14:paraId="28E66D8E"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C0CC8" w14:textId="156E9217"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The pupil requires high levels of supervision </w:t>
            </w:r>
            <w:proofErr w:type="gramStart"/>
            <w:r>
              <w:rPr>
                <w:color w:val="000000"/>
                <w:sz w:val="22"/>
                <w:szCs w:val="22"/>
              </w:rPr>
              <w:t>in order to</w:t>
            </w:r>
            <w:proofErr w:type="gramEnd"/>
            <w:r>
              <w:rPr>
                <w:color w:val="000000"/>
                <w:sz w:val="22"/>
                <w:szCs w:val="22"/>
              </w:rPr>
              <w:t xml:space="preserve"> remain safe.</w:t>
            </w:r>
          </w:p>
        </w:tc>
      </w:tr>
      <w:tr w:rsidR="004210FD" w14:paraId="5D60DE83"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5AEBD" w14:textId="61735A18"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pupil requires support to develop self-esteem and explicit teaching on skills for wellbeing, safety, resilience and skills for adulthood.</w:t>
            </w:r>
          </w:p>
        </w:tc>
      </w:tr>
      <w:tr w:rsidR="004210FD" w14:paraId="2B56D283"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52818" w14:textId="1D086D3A" w:rsidR="004210FD" w:rsidRPr="00DF75FF" w:rsidRDefault="004210FD" w:rsidP="00DF75FF">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The pupil </w:t>
            </w:r>
            <w:proofErr w:type="gramStart"/>
            <w:r>
              <w:rPr>
                <w:color w:val="000000"/>
                <w:sz w:val="22"/>
                <w:szCs w:val="22"/>
              </w:rPr>
              <w:t>is able to</w:t>
            </w:r>
            <w:proofErr w:type="gramEnd"/>
            <w:r>
              <w:rPr>
                <w:color w:val="000000"/>
                <w:sz w:val="22"/>
                <w:szCs w:val="22"/>
              </w:rPr>
              <w:t xml:space="preserve"> attend a school setting and learn within a classroom environment.</w:t>
            </w:r>
          </w:p>
        </w:tc>
      </w:tr>
      <w:tr w:rsidR="004210FD" w14:paraId="561979BC" w14:textId="77777777" w:rsidTr="004210FD">
        <w:trPr>
          <w:trHeight w:val="64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2BB59" w14:textId="53F00DF9" w:rsidR="004210FD" w:rsidRDefault="004210FD" w:rsidP="00DF75FF">
            <w:pPr>
              <w:numPr>
                <w:ilvl w:val="0"/>
                <w:numId w:val="8"/>
              </w:numPr>
              <w:pBdr>
                <w:top w:val="nil"/>
                <w:left w:val="nil"/>
                <w:bottom w:val="nil"/>
                <w:right w:val="nil"/>
                <w:between w:val="nil"/>
              </w:pBdr>
              <w:spacing w:before="60" w:after="60" w:line="288" w:lineRule="auto"/>
              <w:ind w:left="450"/>
              <w:rPr>
                <w:color w:val="000000"/>
                <w:sz w:val="22"/>
                <w:szCs w:val="22"/>
              </w:rPr>
            </w:pPr>
            <w:r>
              <w:rPr>
                <w:color w:val="000000"/>
                <w:sz w:val="22"/>
                <w:szCs w:val="22"/>
              </w:rPr>
              <w:t>The pupil has not suffered significant Adverse Childhood Experiences (ACE) resulting significant trauma and requiring a specialist therapeutic setting.</w:t>
            </w:r>
          </w:p>
        </w:tc>
      </w:tr>
    </w:tbl>
    <w:p w14:paraId="2A5FFB96" w14:textId="77777777" w:rsidR="00123688" w:rsidRPr="004965CA" w:rsidRDefault="00123688" w:rsidP="008164FC">
      <w:pPr>
        <w:spacing w:line="288" w:lineRule="auto"/>
        <w:rPr>
          <w:sz w:val="12"/>
          <w:szCs w:val="12"/>
        </w:rPr>
      </w:pPr>
    </w:p>
    <w:tbl>
      <w:tblPr>
        <w:tblStyle w:val="2"/>
        <w:tblW w:w="9351" w:type="dxa"/>
        <w:tblLayout w:type="fixed"/>
        <w:tblLook w:val="0000" w:firstRow="0" w:lastRow="0" w:firstColumn="0" w:lastColumn="0" w:noHBand="0" w:noVBand="0"/>
      </w:tblPr>
      <w:tblGrid>
        <w:gridCol w:w="1980"/>
        <w:gridCol w:w="7371"/>
      </w:tblGrid>
      <w:tr w:rsidR="00123688" w14:paraId="5BE35C80"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F437E9C" w14:textId="77777777" w:rsidR="00123688" w:rsidRDefault="004465CD" w:rsidP="008164FC">
            <w:pPr>
              <w:spacing w:before="60" w:after="60" w:line="288" w:lineRule="auto"/>
              <w:ind w:left="29"/>
              <w:rPr>
                <w:b/>
                <w:sz w:val="20"/>
                <w:szCs w:val="20"/>
              </w:rPr>
            </w:pPr>
            <w:r>
              <w:rPr>
                <w:b/>
                <w:sz w:val="20"/>
                <w:szCs w:val="20"/>
              </w:rPr>
              <w:t>F. Compatibility with the efficient Education of others</w:t>
            </w:r>
          </w:p>
          <w:p w14:paraId="1B5D0DB3" w14:textId="77777777" w:rsidR="00123688" w:rsidRDefault="004465CD" w:rsidP="008164FC">
            <w:pPr>
              <w:spacing w:before="60" w:after="60" w:line="288" w:lineRule="auto"/>
              <w:ind w:left="29"/>
              <w:rPr>
                <w:color w:val="0070C0"/>
              </w:rPr>
            </w:pPr>
            <w:r>
              <w:rPr>
                <w:color w:val="0070C0"/>
                <w:sz w:val="16"/>
                <w:szCs w:val="16"/>
              </w:rPr>
              <w:t>Use this section to describe indicators relating peer group, class size and reasonable adjustments</w:t>
            </w:r>
          </w:p>
        </w:tc>
      </w:tr>
      <w:tr w:rsidR="004210FD" w14:paraId="0AEA7F98" w14:textId="77777777" w:rsidTr="004210FD">
        <w:trPr>
          <w:trHeight w:val="438"/>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0777D" w14:textId="77777777" w:rsidR="004210FD" w:rsidRDefault="004210FD" w:rsidP="008164FC">
            <w:pPr>
              <w:numPr>
                <w:ilvl w:val="0"/>
                <w:numId w:val="6"/>
              </w:numPr>
              <w:pBdr>
                <w:top w:val="nil"/>
                <w:left w:val="nil"/>
                <w:bottom w:val="nil"/>
                <w:right w:val="nil"/>
                <w:between w:val="nil"/>
              </w:pBdr>
              <w:spacing w:before="60" w:after="60" w:line="288" w:lineRule="auto"/>
              <w:ind w:left="457"/>
              <w:rPr>
                <w:color w:val="000000"/>
                <w:sz w:val="20"/>
                <w:szCs w:val="20"/>
              </w:rPr>
            </w:pPr>
            <w:r>
              <w:rPr>
                <w:color w:val="000000"/>
                <w:sz w:val="22"/>
                <w:szCs w:val="22"/>
              </w:rPr>
              <w:t>The pupil’s admission onto the school roll would not be incompatible with efficient education of others and in particular their safety and wellbeing to such an extent that it could not be mitigated by reasonable adjustments.</w:t>
            </w:r>
          </w:p>
        </w:tc>
      </w:tr>
      <w:tr w:rsidR="004210FD" w14:paraId="2300879F" w14:textId="77777777" w:rsidTr="004210FD">
        <w:trPr>
          <w:trHeight w:val="438"/>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2DA1D0" w14:textId="77777777" w:rsidR="004210FD" w:rsidRDefault="004210FD" w:rsidP="008164FC">
            <w:pPr>
              <w:numPr>
                <w:ilvl w:val="0"/>
                <w:numId w:val="6"/>
              </w:numPr>
              <w:pBdr>
                <w:top w:val="nil"/>
                <w:left w:val="nil"/>
                <w:bottom w:val="nil"/>
                <w:right w:val="nil"/>
                <w:between w:val="nil"/>
              </w:pBdr>
              <w:spacing w:before="60" w:after="60" w:line="288" w:lineRule="auto"/>
              <w:ind w:left="457"/>
              <w:rPr>
                <w:color w:val="000000"/>
                <w:sz w:val="20"/>
                <w:szCs w:val="20"/>
              </w:rPr>
            </w:pPr>
            <w:r>
              <w:rPr>
                <w:color w:val="000000"/>
                <w:sz w:val="22"/>
                <w:szCs w:val="22"/>
              </w:rPr>
              <w:t>The pupil’s admission onto the school roll and the provision outlined in their EHCP would not compromise class size and high staff to pupil ratio beyond what is recommended in government guidance.</w:t>
            </w:r>
          </w:p>
        </w:tc>
      </w:tr>
      <w:tr w:rsidR="004210FD" w14:paraId="72097CB5" w14:textId="77777777" w:rsidTr="004210FD">
        <w:trPr>
          <w:trHeight w:val="438"/>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769C5F" w14:textId="77777777" w:rsidR="004210FD" w:rsidRDefault="004210FD" w:rsidP="008164FC">
            <w:pPr>
              <w:numPr>
                <w:ilvl w:val="0"/>
                <w:numId w:val="6"/>
              </w:numPr>
              <w:pBdr>
                <w:top w:val="nil"/>
                <w:left w:val="nil"/>
                <w:bottom w:val="nil"/>
                <w:right w:val="nil"/>
                <w:between w:val="nil"/>
              </w:pBdr>
              <w:spacing w:before="60" w:after="60" w:line="288" w:lineRule="auto"/>
              <w:ind w:left="457"/>
              <w:rPr>
                <w:color w:val="000000"/>
                <w:sz w:val="22"/>
                <w:szCs w:val="22"/>
              </w:rPr>
            </w:pPr>
            <w:r>
              <w:rPr>
                <w:color w:val="000000"/>
                <w:sz w:val="22"/>
                <w:szCs w:val="22"/>
              </w:rPr>
              <w:t>The pupil’s admission onto the school roll would not compromise the education and wellbeing of others due to a lack of specialist expertise, structures, systems and approaches. This provision is suitable for pupils with a primary need of SEMH with a broadly average cognitive profile. A particular diagnosis is not an indication that the pupil has the same needs or requires the same provision. The school’s expertise, structures, systems and approaches would not be suitable for pupils with the following SEN:</w:t>
            </w:r>
          </w:p>
          <w:p w14:paraId="5F81A842" w14:textId="77777777" w:rsidR="004210FD" w:rsidRDefault="004210FD" w:rsidP="004965CA">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Working significantly below age related expectations (ARE)</w:t>
            </w:r>
          </w:p>
          <w:p w14:paraId="780F14AC" w14:textId="003CF71D" w:rsidR="004210FD" w:rsidRDefault="00A80AA3" w:rsidP="004965CA">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S</w:t>
            </w:r>
            <w:r w:rsidR="004210FD">
              <w:rPr>
                <w:color w:val="000000"/>
                <w:sz w:val="22"/>
                <w:szCs w:val="22"/>
              </w:rPr>
              <w:t>ignificant Adverse Childhood Experiences (ACE)</w:t>
            </w:r>
          </w:p>
          <w:p w14:paraId="69746B1C" w14:textId="77777777" w:rsidR="004210FD" w:rsidRDefault="004210FD" w:rsidP="004965CA">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Experience severe anxiety with associated Emotionally Based School Avoidance (EBSA)</w:t>
            </w:r>
          </w:p>
          <w:p w14:paraId="271E7620" w14:textId="77777777" w:rsidR="004210FD" w:rsidRDefault="004210FD" w:rsidP="004965CA">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Experience significant challenges with drugs, alcohol and/or illegal substance abuse</w:t>
            </w:r>
          </w:p>
          <w:p w14:paraId="57DAA426" w14:textId="6CE449C4" w:rsidR="004210FD" w:rsidRPr="004965CA" w:rsidRDefault="004210FD" w:rsidP="004965CA">
            <w:pPr>
              <w:pStyle w:val="ListParagraph"/>
              <w:numPr>
                <w:ilvl w:val="0"/>
                <w:numId w:val="13"/>
              </w:numPr>
              <w:pBdr>
                <w:top w:val="nil"/>
                <w:left w:val="nil"/>
                <w:bottom w:val="nil"/>
                <w:right w:val="nil"/>
                <w:between w:val="nil"/>
              </w:pBdr>
              <w:spacing w:before="60" w:after="60" w:line="288" w:lineRule="auto"/>
              <w:ind w:left="885"/>
              <w:rPr>
                <w:color w:val="000000"/>
                <w:sz w:val="22"/>
                <w:szCs w:val="22"/>
              </w:rPr>
            </w:pPr>
            <w:r>
              <w:rPr>
                <w:color w:val="000000"/>
                <w:sz w:val="22"/>
                <w:szCs w:val="22"/>
              </w:rPr>
              <w:t>Exhibit sexualised or sexually harmful behaviour</w:t>
            </w:r>
          </w:p>
        </w:tc>
      </w:tr>
      <w:tr w:rsidR="00123688" w14:paraId="435A0AA6" w14:textId="77777777" w:rsidTr="004965CA">
        <w:tc>
          <w:tcPr>
            <w:tcW w:w="935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CD2F04F" w14:textId="57083B57" w:rsidR="00123688" w:rsidRPr="00AE7796" w:rsidRDefault="004465CD" w:rsidP="008164FC">
            <w:pPr>
              <w:pBdr>
                <w:top w:val="nil"/>
                <w:left w:val="nil"/>
                <w:bottom w:val="nil"/>
                <w:right w:val="nil"/>
                <w:between w:val="nil"/>
              </w:pBdr>
              <w:spacing w:before="60" w:after="60" w:line="288" w:lineRule="auto"/>
              <w:rPr>
                <w:b/>
                <w:color w:val="000000"/>
                <w:sz w:val="22"/>
                <w:szCs w:val="22"/>
              </w:rPr>
            </w:pPr>
            <w:r>
              <w:rPr>
                <w:b/>
                <w:color w:val="000000"/>
                <w:sz w:val="22"/>
                <w:szCs w:val="22"/>
              </w:rPr>
              <w:t>G. Other considerations</w:t>
            </w:r>
          </w:p>
        </w:tc>
      </w:tr>
      <w:tr w:rsidR="004210FD" w14:paraId="5761E58D" w14:textId="77777777" w:rsidTr="004210FD">
        <w:trPr>
          <w:trHeight w:val="920"/>
        </w:trPr>
        <w:tc>
          <w:tcPr>
            <w:tcW w:w="1980" w:type="dxa"/>
            <w:vMerge w:val="restart"/>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0575732" w14:textId="77777777" w:rsidR="004210FD" w:rsidRDefault="004210FD" w:rsidP="008164FC">
            <w:pPr>
              <w:spacing w:before="60" w:after="60" w:line="288" w:lineRule="auto"/>
              <w:ind w:left="97"/>
              <w:rPr>
                <w:b/>
                <w:sz w:val="22"/>
                <w:szCs w:val="22"/>
              </w:rPr>
            </w:pPr>
            <w:r>
              <w:rPr>
                <w:b/>
                <w:sz w:val="22"/>
                <w:szCs w:val="22"/>
              </w:rPr>
              <w:t xml:space="preserve">Geography and Transport </w:t>
            </w:r>
          </w:p>
          <w:p w14:paraId="61B911A6" w14:textId="77777777" w:rsidR="004210FD" w:rsidRDefault="004210FD" w:rsidP="008164FC">
            <w:pPr>
              <w:spacing w:before="60" w:after="60" w:line="288" w:lineRule="auto"/>
              <w:ind w:left="97"/>
              <w:rPr>
                <w:sz w:val="22"/>
                <w:szCs w:val="22"/>
              </w:rPr>
            </w:pPr>
          </w:p>
        </w:tc>
        <w:tc>
          <w:tcPr>
            <w:tcW w:w="737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E6EA25" w14:textId="77777777" w:rsidR="004210FD" w:rsidRDefault="004210FD" w:rsidP="008164FC">
            <w:pPr>
              <w:numPr>
                <w:ilvl w:val="0"/>
                <w:numId w:val="7"/>
              </w:numPr>
              <w:pBdr>
                <w:top w:val="nil"/>
                <w:left w:val="nil"/>
                <w:bottom w:val="nil"/>
                <w:right w:val="nil"/>
                <w:between w:val="nil"/>
              </w:pBdr>
              <w:spacing w:before="60" w:after="60" w:line="288" w:lineRule="auto"/>
              <w:ind w:left="462"/>
              <w:rPr>
                <w:color w:val="000000"/>
                <w:sz w:val="22"/>
                <w:szCs w:val="22"/>
              </w:rPr>
            </w:pPr>
            <w:r>
              <w:rPr>
                <w:color w:val="000000"/>
                <w:sz w:val="22"/>
                <w:szCs w:val="22"/>
              </w:rPr>
              <w:t>This setting is the nearest appropriate provision by type to this pupils’ home. (</w:t>
            </w:r>
            <w:r>
              <w:rPr>
                <w:i/>
                <w:color w:val="000000"/>
                <w:sz w:val="22"/>
                <w:szCs w:val="22"/>
              </w:rPr>
              <w:t>Next nearest may be considered where capacity is not available in the nearest setting)</w:t>
            </w:r>
          </w:p>
        </w:tc>
      </w:tr>
      <w:tr w:rsidR="004210FD" w14:paraId="06A4B10A" w14:textId="77777777" w:rsidTr="004210FD">
        <w:trPr>
          <w:trHeight w:val="455"/>
        </w:trPr>
        <w:tc>
          <w:tcPr>
            <w:tcW w:w="1980"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1B02F6F" w14:textId="77777777" w:rsidR="004210FD" w:rsidRDefault="004210FD" w:rsidP="008164FC">
            <w:pPr>
              <w:widowControl w:val="0"/>
              <w:pBdr>
                <w:top w:val="nil"/>
                <w:left w:val="nil"/>
                <w:bottom w:val="nil"/>
                <w:right w:val="nil"/>
                <w:between w:val="nil"/>
              </w:pBdr>
              <w:spacing w:line="288" w:lineRule="auto"/>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188DAA" w14:textId="77777777" w:rsidR="004210FD" w:rsidRDefault="004210FD" w:rsidP="008164FC">
            <w:pPr>
              <w:numPr>
                <w:ilvl w:val="0"/>
                <w:numId w:val="7"/>
              </w:numPr>
              <w:pBdr>
                <w:top w:val="nil"/>
                <w:left w:val="nil"/>
                <w:bottom w:val="nil"/>
                <w:right w:val="nil"/>
                <w:between w:val="nil"/>
              </w:pBdr>
              <w:spacing w:before="60" w:after="60" w:line="288" w:lineRule="auto"/>
              <w:ind w:left="462"/>
              <w:rPr>
                <w:color w:val="000000"/>
                <w:sz w:val="22"/>
                <w:szCs w:val="22"/>
              </w:rPr>
            </w:pPr>
            <w:r>
              <w:rPr>
                <w:color w:val="000000"/>
                <w:sz w:val="22"/>
                <w:szCs w:val="22"/>
              </w:rPr>
              <w:t>Required travel time to and from the setting would not be detrimental to the pupils’ wellbeing or readiness to learn.</w:t>
            </w:r>
          </w:p>
        </w:tc>
      </w:tr>
      <w:tr w:rsidR="004210FD" w14:paraId="04C10022" w14:textId="77777777" w:rsidTr="004210FD">
        <w:trPr>
          <w:trHeight w:val="1139"/>
        </w:trPr>
        <w:tc>
          <w:tcPr>
            <w:tcW w:w="1980"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7728935D" w14:textId="77777777" w:rsidR="004210FD" w:rsidRDefault="004210FD" w:rsidP="008164FC">
            <w:pPr>
              <w:spacing w:before="60" w:after="60" w:line="288" w:lineRule="auto"/>
              <w:ind w:left="97"/>
              <w:rPr>
                <w:b/>
                <w:sz w:val="22"/>
                <w:szCs w:val="22"/>
              </w:rPr>
            </w:pPr>
            <w:r>
              <w:rPr>
                <w:b/>
                <w:sz w:val="22"/>
                <w:szCs w:val="22"/>
              </w:rPr>
              <w:lastRenderedPageBreak/>
              <w:t>Environmental and Health and Safety Factors</w:t>
            </w:r>
          </w:p>
        </w:tc>
        <w:tc>
          <w:tcPr>
            <w:tcW w:w="737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6AAA429B" w14:textId="77777777" w:rsidR="004210FD" w:rsidRDefault="004210FD" w:rsidP="008164FC">
            <w:pPr>
              <w:numPr>
                <w:ilvl w:val="0"/>
                <w:numId w:val="7"/>
              </w:numPr>
              <w:pBdr>
                <w:top w:val="nil"/>
                <w:left w:val="nil"/>
                <w:bottom w:val="nil"/>
                <w:right w:val="nil"/>
                <w:between w:val="nil"/>
              </w:pBdr>
              <w:spacing w:before="60" w:after="60" w:line="288" w:lineRule="auto"/>
              <w:ind w:left="462"/>
              <w:rPr>
                <w:color w:val="000000"/>
                <w:sz w:val="22"/>
                <w:szCs w:val="22"/>
              </w:rPr>
            </w:pPr>
            <w:r>
              <w:rPr>
                <w:color w:val="000000"/>
                <w:sz w:val="22"/>
                <w:szCs w:val="22"/>
              </w:rPr>
              <w:t>There are no concerns about site safety that, with all reasonable adjustments, could not be mitigated to make this placement safe for the pupil</w:t>
            </w:r>
          </w:p>
        </w:tc>
      </w:tr>
      <w:tr w:rsidR="004210FD" w14:paraId="4CEE2FD9" w14:textId="77777777" w:rsidTr="004210FD">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C947" w14:textId="77777777" w:rsidR="004210FD" w:rsidRDefault="004210FD" w:rsidP="008164FC">
            <w:pPr>
              <w:spacing w:before="60" w:after="60" w:line="288" w:lineRule="auto"/>
              <w:ind w:left="97"/>
              <w:rPr>
                <w:b/>
                <w:sz w:val="22"/>
                <w:szCs w:val="22"/>
              </w:rPr>
            </w:pPr>
            <w:r>
              <w:rPr>
                <w:b/>
                <w:sz w:val="22"/>
                <w:szCs w:val="22"/>
              </w:rPr>
              <w:t>Non- educational needs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9A16" w14:textId="77777777" w:rsidR="004210FD" w:rsidRDefault="004210FD" w:rsidP="008164FC">
            <w:pPr>
              <w:numPr>
                <w:ilvl w:val="0"/>
                <w:numId w:val="7"/>
              </w:numPr>
              <w:pBdr>
                <w:top w:val="nil"/>
                <w:left w:val="nil"/>
                <w:bottom w:val="nil"/>
                <w:right w:val="nil"/>
                <w:between w:val="nil"/>
              </w:pBdr>
              <w:spacing w:before="60" w:after="60" w:line="288" w:lineRule="auto"/>
              <w:ind w:left="462"/>
              <w:rPr>
                <w:color w:val="000000"/>
                <w:sz w:val="22"/>
                <w:szCs w:val="22"/>
              </w:rPr>
            </w:pPr>
            <w:r>
              <w:rPr>
                <w:color w:val="000000"/>
                <w:sz w:val="22"/>
                <w:szCs w:val="22"/>
              </w:rPr>
              <w:t>Consideration has been given to whether support to address any unmet health needs would enable the pupil to remain in or attend their current setting.</w:t>
            </w:r>
          </w:p>
        </w:tc>
      </w:tr>
      <w:tr w:rsidR="004210FD" w14:paraId="4B985A69" w14:textId="77777777" w:rsidTr="004210FD">
        <w:trPr>
          <w:trHeight w:val="810"/>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683A" w14:textId="77777777" w:rsidR="004210FD" w:rsidRDefault="004210FD" w:rsidP="008164FC">
            <w:pPr>
              <w:widowControl w:val="0"/>
              <w:pBdr>
                <w:top w:val="nil"/>
                <w:left w:val="nil"/>
                <w:bottom w:val="nil"/>
                <w:right w:val="nil"/>
                <w:between w:val="nil"/>
              </w:pBdr>
              <w:spacing w:line="288" w:lineRule="auto"/>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17575" w14:textId="77777777" w:rsidR="004210FD" w:rsidRDefault="004210FD" w:rsidP="008164FC">
            <w:pPr>
              <w:numPr>
                <w:ilvl w:val="0"/>
                <w:numId w:val="7"/>
              </w:numPr>
              <w:pBdr>
                <w:top w:val="nil"/>
                <w:left w:val="nil"/>
                <w:bottom w:val="nil"/>
                <w:right w:val="nil"/>
                <w:between w:val="nil"/>
              </w:pBdr>
              <w:spacing w:before="60" w:after="60" w:line="288" w:lineRule="auto"/>
              <w:ind w:left="462"/>
              <w:rPr>
                <w:color w:val="000000"/>
                <w:sz w:val="22"/>
                <w:szCs w:val="22"/>
              </w:rPr>
            </w:pPr>
            <w:r>
              <w:rPr>
                <w:color w:val="000000"/>
                <w:sz w:val="22"/>
                <w:szCs w:val="22"/>
              </w:rPr>
              <w:t>Consideration has been given to whether support to address any unmet social care needs within the child’s family and wider context, would enable them to remain in their current setting</w:t>
            </w:r>
          </w:p>
        </w:tc>
      </w:tr>
    </w:tbl>
    <w:p w14:paraId="2ED14FA1" w14:textId="77777777" w:rsidR="00123688" w:rsidRDefault="00123688" w:rsidP="008164FC">
      <w:pPr>
        <w:spacing w:line="288" w:lineRule="auto"/>
      </w:pPr>
    </w:p>
    <w:tbl>
      <w:tblPr>
        <w:tblStyle w:val="1"/>
        <w:tblW w:w="9351" w:type="dxa"/>
        <w:tblLayout w:type="fixed"/>
        <w:tblLook w:val="0000" w:firstRow="0" w:lastRow="0" w:firstColumn="0" w:lastColumn="0" w:noHBand="0" w:noVBand="0"/>
      </w:tblPr>
      <w:tblGrid>
        <w:gridCol w:w="9351"/>
      </w:tblGrid>
      <w:tr w:rsidR="00123688" w14:paraId="359C7835" w14:textId="77777777">
        <w:tc>
          <w:tcPr>
            <w:tcW w:w="93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B5D4E95" w14:textId="47C40F0D" w:rsidR="00123688" w:rsidRPr="00AE7796" w:rsidRDefault="004465CD" w:rsidP="00AE7796">
            <w:pPr>
              <w:spacing w:before="60" w:after="60" w:line="288" w:lineRule="auto"/>
              <w:ind w:left="29"/>
              <w:rPr>
                <w:b/>
                <w:sz w:val="22"/>
                <w:szCs w:val="22"/>
              </w:rPr>
            </w:pPr>
            <w:r>
              <w:rPr>
                <w:b/>
                <w:sz w:val="22"/>
                <w:szCs w:val="22"/>
              </w:rPr>
              <w:t>H. Exit Indicators</w:t>
            </w:r>
          </w:p>
        </w:tc>
      </w:tr>
      <w:tr w:rsidR="00123688" w14:paraId="47739337" w14:textId="77777777">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4712" w14:textId="79257BDB" w:rsidR="00123688" w:rsidRDefault="004465CD" w:rsidP="008164FC">
            <w:pPr>
              <w:numPr>
                <w:ilvl w:val="0"/>
                <w:numId w:val="5"/>
              </w:numPr>
              <w:pBdr>
                <w:top w:val="nil"/>
                <w:left w:val="nil"/>
                <w:bottom w:val="nil"/>
                <w:right w:val="nil"/>
                <w:between w:val="nil"/>
              </w:pBdr>
              <w:spacing w:before="60" w:after="60" w:line="288" w:lineRule="auto"/>
              <w:ind w:left="450"/>
              <w:rPr>
                <w:color w:val="000000"/>
                <w:sz w:val="22"/>
                <w:szCs w:val="22"/>
              </w:rPr>
            </w:pPr>
            <w:r>
              <w:rPr>
                <w:color w:val="000000"/>
                <w:sz w:val="22"/>
                <w:szCs w:val="22"/>
              </w:rPr>
              <w:t xml:space="preserve">If placement at the school was no longer suitable for the age, ability, aptitude or SEN of the pupil. For example, if the </w:t>
            </w:r>
            <w:r w:rsidR="004965CA">
              <w:rPr>
                <w:color w:val="000000"/>
                <w:sz w:val="22"/>
                <w:szCs w:val="22"/>
              </w:rPr>
              <w:t>school</w:t>
            </w:r>
            <w:r>
              <w:rPr>
                <w:color w:val="000000"/>
                <w:sz w:val="22"/>
                <w:szCs w:val="22"/>
              </w:rPr>
              <w:t xml:space="preserve"> determined that the level of SEN was such that a pupil’s needs could be met in mainstream school.</w:t>
            </w:r>
          </w:p>
          <w:p w14:paraId="27FF51C3" w14:textId="5513C6DE" w:rsidR="00123688" w:rsidRDefault="004465CD" w:rsidP="008164FC">
            <w:pPr>
              <w:numPr>
                <w:ilvl w:val="0"/>
                <w:numId w:val="5"/>
              </w:numPr>
              <w:pBdr>
                <w:top w:val="nil"/>
                <w:left w:val="nil"/>
                <w:bottom w:val="nil"/>
                <w:right w:val="nil"/>
                <w:between w:val="nil"/>
              </w:pBdr>
              <w:spacing w:before="60" w:after="60" w:line="288" w:lineRule="auto"/>
              <w:ind w:left="450"/>
              <w:rPr>
                <w:color w:val="000000"/>
                <w:sz w:val="22"/>
                <w:szCs w:val="22"/>
              </w:rPr>
            </w:pPr>
            <w:r>
              <w:rPr>
                <w:color w:val="000000"/>
                <w:sz w:val="22"/>
                <w:szCs w:val="22"/>
              </w:rPr>
              <w:t>If placement at the school was no longer compatible with the efficient education of the other pupils on roll. For example, if the</w:t>
            </w:r>
            <w:r w:rsidR="004965CA">
              <w:rPr>
                <w:color w:val="000000"/>
                <w:sz w:val="22"/>
                <w:szCs w:val="22"/>
              </w:rPr>
              <w:t xml:space="preserve"> school</w:t>
            </w:r>
            <w:r>
              <w:rPr>
                <w:color w:val="000000"/>
                <w:sz w:val="22"/>
                <w:szCs w:val="22"/>
              </w:rPr>
              <w:t xml:space="preserve"> determined that the pupil’s continued placement posed a significant health and safety risk to the other pupils.</w:t>
            </w:r>
          </w:p>
          <w:p w14:paraId="08F05F9D" w14:textId="022C06AC" w:rsidR="00123688" w:rsidRDefault="004465CD" w:rsidP="008164FC">
            <w:pPr>
              <w:numPr>
                <w:ilvl w:val="0"/>
                <w:numId w:val="5"/>
              </w:numPr>
              <w:pBdr>
                <w:top w:val="nil"/>
                <w:left w:val="nil"/>
                <w:bottom w:val="nil"/>
                <w:right w:val="nil"/>
                <w:between w:val="nil"/>
              </w:pBdr>
              <w:spacing w:before="60" w:after="60" w:line="288" w:lineRule="auto"/>
              <w:ind w:left="450"/>
              <w:rPr>
                <w:color w:val="000000"/>
                <w:sz w:val="32"/>
                <w:szCs w:val="32"/>
              </w:rPr>
            </w:pPr>
            <w:r>
              <w:rPr>
                <w:color w:val="000000"/>
                <w:sz w:val="22"/>
                <w:szCs w:val="22"/>
              </w:rPr>
              <w:t xml:space="preserve">Permanent exclusion in line with the Trust’s </w:t>
            </w:r>
            <w:r w:rsidR="00AE7796">
              <w:rPr>
                <w:color w:val="000000"/>
                <w:sz w:val="22"/>
                <w:szCs w:val="22"/>
              </w:rPr>
              <w:t>Suspensions and Exclusions</w:t>
            </w:r>
            <w:r>
              <w:rPr>
                <w:color w:val="000000"/>
                <w:sz w:val="22"/>
                <w:szCs w:val="22"/>
              </w:rPr>
              <w:t xml:space="preserve"> Policy. These exclusions occur rarely and are used as last resort.</w:t>
            </w:r>
          </w:p>
          <w:p w14:paraId="0890BF3D" w14:textId="77777777" w:rsidR="00123688" w:rsidRDefault="00123688" w:rsidP="008164FC">
            <w:pPr>
              <w:spacing w:before="60" w:after="60" w:line="288" w:lineRule="auto"/>
              <w:rPr>
                <w:color w:val="000000"/>
                <w:sz w:val="22"/>
                <w:szCs w:val="22"/>
              </w:rPr>
            </w:pPr>
          </w:p>
          <w:p w14:paraId="3405394A" w14:textId="5F034450" w:rsidR="00123688" w:rsidRDefault="00AE7796" w:rsidP="008164FC">
            <w:pPr>
              <w:spacing w:before="60" w:after="60" w:line="288" w:lineRule="auto"/>
              <w:rPr>
                <w:sz w:val="20"/>
                <w:szCs w:val="20"/>
              </w:rPr>
            </w:pPr>
            <w:r w:rsidRPr="00B64894">
              <w:rPr>
                <w:sz w:val="22"/>
                <w:szCs w:val="22"/>
              </w:rPr>
              <w:t xml:space="preserve">In </w:t>
            </w:r>
            <w:proofErr w:type="gramStart"/>
            <w:r w:rsidRPr="00B64894">
              <w:rPr>
                <w:sz w:val="22"/>
                <w:szCs w:val="22"/>
              </w:rPr>
              <w:t>all of</w:t>
            </w:r>
            <w:proofErr w:type="gramEnd"/>
            <w:r w:rsidRPr="00B64894">
              <w:rPr>
                <w:sz w:val="22"/>
                <w:szCs w:val="22"/>
              </w:rPr>
              <w:t xml:space="preserve"> the above circumstances </w:t>
            </w:r>
            <w:r>
              <w:rPr>
                <w:sz w:val="22"/>
                <w:szCs w:val="22"/>
              </w:rPr>
              <w:t>the school would aim for</w:t>
            </w:r>
            <w:r w:rsidRPr="00B64894">
              <w:rPr>
                <w:sz w:val="22"/>
                <w:szCs w:val="22"/>
              </w:rPr>
              <w:t xml:space="preserve"> </w:t>
            </w:r>
            <w:r>
              <w:rPr>
                <w:sz w:val="22"/>
                <w:szCs w:val="22"/>
              </w:rPr>
              <w:t xml:space="preserve">an </w:t>
            </w:r>
            <w:r w:rsidRPr="00B64894">
              <w:rPr>
                <w:sz w:val="22"/>
                <w:szCs w:val="22"/>
              </w:rPr>
              <w:t xml:space="preserve">Annual Review meeting </w:t>
            </w:r>
            <w:r>
              <w:rPr>
                <w:sz w:val="22"/>
                <w:szCs w:val="22"/>
              </w:rPr>
              <w:t>to</w:t>
            </w:r>
            <w:r w:rsidRPr="00B64894">
              <w:rPr>
                <w:sz w:val="22"/>
                <w:szCs w:val="22"/>
              </w:rPr>
              <w:t xml:space="preserve"> be </w:t>
            </w:r>
            <w:r>
              <w:rPr>
                <w:sz w:val="22"/>
                <w:szCs w:val="22"/>
              </w:rPr>
              <w:t>held</w:t>
            </w:r>
            <w:r w:rsidRPr="00B64894">
              <w:rPr>
                <w:sz w:val="22"/>
                <w:szCs w:val="22"/>
              </w:rPr>
              <w:t xml:space="preserve"> to discuss any potential changes with parent/carers and the Local Authority.</w:t>
            </w:r>
          </w:p>
        </w:tc>
      </w:tr>
    </w:tbl>
    <w:p w14:paraId="37E37BD3" w14:textId="77777777" w:rsidR="00123688" w:rsidRDefault="00123688" w:rsidP="008164FC">
      <w:pPr>
        <w:spacing w:before="60" w:after="60" w:line="288" w:lineRule="auto"/>
        <w:rPr>
          <w:sz w:val="22"/>
          <w:szCs w:val="22"/>
        </w:rPr>
      </w:pPr>
    </w:p>
    <w:p w14:paraId="2D121523" w14:textId="77777777" w:rsidR="00123688" w:rsidRDefault="00123688" w:rsidP="008164FC">
      <w:pPr>
        <w:spacing w:before="60" w:after="60" w:line="288" w:lineRule="auto"/>
        <w:rPr>
          <w:sz w:val="22"/>
          <w:szCs w:val="22"/>
        </w:rPr>
      </w:pPr>
    </w:p>
    <w:p w14:paraId="29C19E22" w14:textId="77777777" w:rsidR="00123688" w:rsidRDefault="00123688" w:rsidP="008164FC">
      <w:pPr>
        <w:spacing w:before="60" w:after="60" w:line="288" w:lineRule="auto"/>
        <w:rPr>
          <w:sz w:val="22"/>
          <w:szCs w:val="22"/>
        </w:rPr>
      </w:pPr>
    </w:p>
    <w:p w14:paraId="03DC3D98" w14:textId="77777777" w:rsidR="00123688" w:rsidRDefault="00123688" w:rsidP="008164FC">
      <w:pPr>
        <w:spacing w:before="60" w:after="60" w:line="288" w:lineRule="auto"/>
        <w:rPr>
          <w:sz w:val="22"/>
          <w:szCs w:val="22"/>
        </w:rPr>
      </w:pPr>
    </w:p>
    <w:sectPr w:rsidR="00123688">
      <w:footerReference w:type="default" r:id="rId8"/>
      <w:pgSz w:w="11906" w:h="16838"/>
      <w:pgMar w:top="993" w:right="1440" w:bottom="113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396AB" w14:textId="77777777" w:rsidR="009D0ECD" w:rsidRDefault="009D0ECD">
      <w:r>
        <w:separator/>
      </w:r>
    </w:p>
  </w:endnote>
  <w:endnote w:type="continuationSeparator" w:id="0">
    <w:p w14:paraId="7EE17359" w14:textId="77777777" w:rsidR="009D0ECD" w:rsidRDefault="009D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DFBA" w14:textId="18C7F94A" w:rsidR="00123688" w:rsidRDefault="004210FD">
    <w:pPr>
      <w:pBdr>
        <w:top w:val="nil"/>
        <w:left w:val="nil"/>
        <w:bottom w:val="nil"/>
        <w:right w:val="nil"/>
        <w:between w:val="nil"/>
      </w:pBdr>
      <w:tabs>
        <w:tab w:val="center" w:pos="4513"/>
        <w:tab w:val="right" w:pos="9026"/>
      </w:tabs>
      <w:rPr>
        <w:color w:val="000000"/>
      </w:rPr>
    </w:pPr>
    <w:r>
      <w:rPr>
        <w:rFonts w:ascii="Calibri" w:eastAsia="Calibri" w:hAnsi="Calibri" w:cs="Calibri"/>
        <w:color w:val="000000"/>
        <w:sz w:val="20"/>
        <w:szCs w:val="20"/>
      </w:rPr>
      <w:t>The Gallery Trust Admission Indicators 2024</w:t>
    </w:r>
    <w:r>
      <w:rPr>
        <w:color w:val="000000"/>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379E4" w14:textId="77777777" w:rsidR="009D0ECD" w:rsidRDefault="009D0ECD">
      <w:r>
        <w:separator/>
      </w:r>
    </w:p>
  </w:footnote>
  <w:footnote w:type="continuationSeparator" w:id="0">
    <w:p w14:paraId="1027A249" w14:textId="77777777" w:rsidR="009D0ECD" w:rsidRDefault="009D0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83AE3"/>
    <w:multiLevelType w:val="multilevel"/>
    <w:tmpl w:val="8D0CA32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E4B91"/>
    <w:multiLevelType w:val="multilevel"/>
    <w:tmpl w:val="63DA3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796011"/>
    <w:multiLevelType w:val="multilevel"/>
    <w:tmpl w:val="7B44666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2D6"/>
    <w:multiLevelType w:val="multilevel"/>
    <w:tmpl w:val="DF94AA86"/>
    <w:lvl w:ilvl="0">
      <w:start w:val="1"/>
      <w:numFmt w:val="decimal"/>
      <w:lvlText w:val="%1."/>
      <w:lvlJc w:val="left"/>
      <w:pPr>
        <w:ind w:left="817" w:hanging="360"/>
      </w:pPr>
      <w:rPr>
        <w:sz w:val="22"/>
        <w:szCs w:val="22"/>
      </w:r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4" w15:restartNumberingAfterBreak="0">
    <w:nsid w:val="2ED15593"/>
    <w:multiLevelType w:val="hybridMultilevel"/>
    <w:tmpl w:val="3CF04C24"/>
    <w:lvl w:ilvl="0" w:tplc="5B94D8F6">
      <w:start w:val="3"/>
      <w:numFmt w:val="bullet"/>
      <w:lvlText w:val="-"/>
      <w:lvlJc w:val="left"/>
      <w:pPr>
        <w:ind w:left="1177" w:hanging="360"/>
      </w:pPr>
      <w:rPr>
        <w:rFonts w:ascii="Arial" w:eastAsia="Calibri" w:hAnsi="Arial" w:cs="Arial" w:hint="default"/>
        <w:b/>
        <w:color w:val="000000" w:themeColor="text1"/>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4BB6455A"/>
    <w:multiLevelType w:val="multilevel"/>
    <w:tmpl w:val="868C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63289E"/>
    <w:multiLevelType w:val="multilevel"/>
    <w:tmpl w:val="C4E6582E"/>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A65D9"/>
    <w:multiLevelType w:val="multilevel"/>
    <w:tmpl w:val="0A68AA3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5D5140"/>
    <w:multiLevelType w:val="multilevel"/>
    <w:tmpl w:val="755E0C4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1826DE"/>
    <w:multiLevelType w:val="multilevel"/>
    <w:tmpl w:val="7CA8D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D50EF2"/>
    <w:multiLevelType w:val="multilevel"/>
    <w:tmpl w:val="078A858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C34CAF"/>
    <w:multiLevelType w:val="multilevel"/>
    <w:tmpl w:val="14A0829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7E3402"/>
    <w:multiLevelType w:val="multilevel"/>
    <w:tmpl w:val="F1E8F6C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951525">
    <w:abstractNumId w:val="12"/>
  </w:num>
  <w:num w:numId="2" w16cid:durableId="69163594">
    <w:abstractNumId w:val="11"/>
  </w:num>
  <w:num w:numId="3" w16cid:durableId="1101024818">
    <w:abstractNumId w:val="8"/>
  </w:num>
  <w:num w:numId="4" w16cid:durableId="1887983491">
    <w:abstractNumId w:val="1"/>
  </w:num>
  <w:num w:numId="5" w16cid:durableId="960383082">
    <w:abstractNumId w:val="3"/>
  </w:num>
  <w:num w:numId="6" w16cid:durableId="1134299751">
    <w:abstractNumId w:val="6"/>
  </w:num>
  <w:num w:numId="7" w16cid:durableId="783353844">
    <w:abstractNumId w:val="7"/>
  </w:num>
  <w:num w:numId="8" w16cid:durableId="34162259">
    <w:abstractNumId w:val="2"/>
  </w:num>
  <w:num w:numId="9" w16cid:durableId="1845631228">
    <w:abstractNumId w:val="5"/>
  </w:num>
  <w:num w:numId="10" w16cid:durableId="1658420475">
    <w:abstractNumId w:val="9"/>
  </w:num>
  <w:num w:numId="11" w16cid:durableId="1032608985">
    <w:abstractNumId w:val="0"/>
  </w:num>
  <w:num w:numId="12" w16cid:durableId="964895476">
    <w:abstractNumId w:val="10"/>
  </w:num>
  <w:num w:numId="13" w16cid:durableId="182566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88"/>
    <w:rsid w:val="0006459C"/>
    <w:rsid w:val="00120568"/>
    <w:rsid w:val="00123688"/>
    <w:rsid w:val="003B5254"/>
    <w:rsid w:val="004210FD"/>
    <w:rsid w:val="004465CD"/>
    <w:rsid w:val="004965CA"/>
    <w:rsid w:val="004C418C"/>
    <w:rsid w:val="00577219"/>
    <w:rsid w:val="008164FC"/>
    <w:rsid w:val="009D0ECD"/>
    <w:rsid w:val="009E0F9A"/>
    <w:rsid w:val="00A80AA3"/>
    <w:rsid w:val="00AC71E0"/>
    <w:rsid w:val="00AE7796"/>
    <w:rsid w:val="00BD5679"/>
    <w:rsid w:val="00D12B81"/>
    <w:rsid w:val="00D273B4"/>
    <w:rsid w:val="00DF75FF"/>
    <w:rsid w:val="00EE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375E"/>
  <w15:docId w15:val="{FDC47CA3-CB5E-6341-8EB8-EC83D9F0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locked/>
    <w:rsid w:val="005C7C37"/>
  </w:style>
  <w:style w:type="paragraph" w:styleId="NormalWeb">
    <w:name w:val="Normal (Web)"/>
    <w:basedOn w:val="Normal"/>
    <w:uiPriority w:val="99"/>
    <w:unhideWhenUsed/>
    <w:rsid w:val="002D20E4"/>
    <w:pPr>
      <w:suppressAutoHyphens w:val="0"/>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C103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 w:type="dxa"/>
        <w:right w:w="10" w:type="dxa"/>
      </w:tblCellMar>
    </w:tbl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tg0mPSuyh9SxYynuYhVoCZjKQ==">CgMxLjAyCGguZ2pkZ3hzOAByITFBaUhaa09SeG9RS0l6Z0VGMi1Vak4zUjhNSGhEMGM4ZA==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Tonia - CEF</dc:creator>
  <cp:lastModifiedBy>Luke Franklin</cp:lastModifiedBy>
  <cp:revision>2</cp:revision>
  <dcterms:created xsi:type="dcterms:W3CDTF">2024-07-05T14:33:00Z</dcterms:created>
  <dcterms:modified xsi:type="dcterms:W3CDTF">2024-07-05T14:33:00Z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